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charts/chart10.xml" ContentType="application/vnd.openxmlformats-officedocument.drawingml.chart+xml"/>
  <Override PartName="/word/theme/themeOverride9.xml" ContentType="application/vnd.openxmlformats-officedocument.themeOverride+xml"/>
  <Override PartName="/word/charts/chart11.xml" ContentType="application/vnd.openxmlformats-officedocument.drawingml.chart+xml"/>
  <Override PartName="/word/theme/themeOverride10.xml" ContentType="application/vnd.openxmlformats-officedocument.themeOverride+xml"/>
  <Override PartName="/word/charts/chart12.xml" ContentType="application/vnd.openxmlformats-officedocument.drawingml.chart+xml"/>
  <Override PartName="/word/theme/themeOverride11.xml" ContentType="application/vnd.openxmlformats-officedocument.themeOverride+xml"/>
  <Override PartName="/word/charts/chart13.xml" ContentType="application/vnd.openxmlformats-officedocument.drawingml.chart+xml"/>
  <Override PartName="/word/theme/themeOverride12.xml" ContentType="application/vnd.openxmlformats-officedocument.themeOverride+xml"/>
  <Override PartName="/word/charts/chart14.xml" ContentType="application/vnd.openxmlformats-officedocument.drawingml.chart+xml"/>
  <Override PartName="/word/charts/chart15.xml" ContentType="application/vnd.openxmlformats-officedocument.drawingml.chart+xml"/>
  <Override PartName="/word/theme/themeOverride13.xml" ContentType="application/vnd.openxmlformats-officedocument.themeOverride+xml"/>
  <Override PartName="/word/charts/chart16.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74FD" w14:textId="77777777" w:rsidR="00E66410" w:rsidRDefault="00E66410" w:rsidP="003D3DE2">
      <w:pPr>
        <w:pStyle w:val="TOCHeading"/>
        <w:jc w:val="center"/>
        <w:rPr>
          <w:rFonts w:asciiTheme="minorHAnsi" w:eastAsiaTheme="minorHAnsi" w:hAnsiTheme="minorHAnsi" w:cstheme="minorBidi"/>
          <w:color w:val="auto"/>
          <w:sz w:val="22"/>
          <w:szCs w:val="22"/>
          <w:lang w:val="en-GB"/>
        </w:rPr>
      </w:pPr>
      <w:bookmarkStart w:id="0" w:name="_GoBack"/>
      <w:bookmarkEnd w:id="0"/>
    </w:p>
    <w:p w14:paraId="0562D094" w14:textId="77777777" w:rsidR="00E66410" w:rsidRPr="00E66410" w:rsidRDefault="00E66410" w:rsidP="00E66410">
      <w:pPr>
        <w:spacing w:after="200" w:line="276" w:lineRule="auto"/>
        <w:rPr>
          <w:rFonts w:ascii="Calibri" w:eastAsia="Calibri" w:hAnsi="Calibri" w:cs="Times New Roman"/>
        </w:rPr>
      </w:pPr>
    </w:p>
    <w:p w14:paraId="3AE88207" w14:textId="77777777" w:rsidR="00E66410" w:rsidRPr="00E66410" w:rsidRDefault="00E66410" w:rsidP="00E66410">
      <w:pPr>
        <w:spacing w:after="200" w:line="276" w:lineRule="auto"/>
        <w:jc w:val="center"/>
        <w:rPr>
          <w:rFonts w:ascii="Palatino Linotype" w:eastAsia="Calibri" w:hAnsi="Palatino Linotype" w:cs="Times New Roman"/>
          <w:b/>
          <w:color w:val="008000"/>
          <w:sz w:val="28"/>
          <w:szCs w:val="28"/>
        </w:rPr>
      </w:pPr>
    </w:p>
    <w:p w14:paraId="04D10C3B" w14:textId="77777777" w:rsidR="00E66410" w:rsidRPr="00E66410" w:rsidRDefault="0032666D" w:rsidP="00E66410">
      <w:pPr>
        <w:spacing w:after="200" w:line="276" w:lineRule="auto"/>
        <w:jc w:val="center"/>
        <w:rPr>
          <w:rFonts w:ascii="Goudy Old Style" w:eastAsia="Calibri" w:hAnsi="Goudy Old Style" w:cs="Times New Roman"/>
        </w:rPr>
      </w:pPr>
      <w:r>
        <w:rPr>
          <w:rFonts w:ascii="Goudy Old Style" w:eastAsia="Calibri" w:hAnsi="Goudy Old Style" w:cs="Times New Roman"/>
        </w:rPr>
        <w:pict w14:anchorId="5BC3E631">
          <v:rect id="_x0000_i1025" style="width:468pt;height:2pt" o:hralign="center" o:hrstd="t" o:hrnoshade="t" o:hr="t" fillcolor="#23853d" stroked="f"/>
        </w:pict>
      </w:r>
    </w:p>
    <w:p w14:paraId="62CEE40F" w14:textId="77777777" w:rsidR="00E66410" w:rsidRPr="00E66410" w:rsidRDefault="00E66410" w:rsidP="00E66410">
      <w:pPr>
        <w:shd w:val="clear" w:color="auto" w:fill="00B050"/>
        <w:spacing w:after="200" w:line="276" w:lineRule="auto"/>
        <w:jc w:val="center"/>
        <w:rPr>
          <w:rFonts w:ascii="Calibri" w:eastAsia="Calibri" w:hAnsi="Calibri" w:cs="Times New Roman"/>
          <w:b/>
        </w:rPr>
      </w:pPr>
    </w:p>
    <w:p w14:paraId="36100F3B" w14:textId="01DA23CF" w:rsidR="00E66410" w:rsidRPr="00E66410" w:rsidRDefault="00E66410" w:rsidP="00E66410">
      <w:pPr>
        <w:shd w:val="clear" w:color="auto" w:fill="00B050"/>
        <w:spacing w:after="200" w:line="276" w:lineRule="auto"/>
        <w:jc w:val="center"/>
        <w:rPr>
          <w:rFonts w:ascii="Calibri" w:eastAsia="Calibri" w:hAnsi="Calibri" w:cs="Times New Roman"/>
          <w:b/>
          <w:sz w:val="40"/>
          <w:szCs w:val="40"/>
        </w:rPr>
      </w:pPr>
      <w:r>
        <w:rPr>
          <w:rFonts w:ascii="Calibri" w:eastAsia="Times New Roman" w:hAnsi="Calibri" w:cs="Times New Roman"/>
          <w:b/>
          <w:bCs/>
          <w:color w:val="000000"/>
          <w:sz w:val="40"/>
          <w:szCs w:val="40"/>
        </w:rPr>
        <w:t>NATIONAL RESEARCH ON EDUCATION GAPS AND DOMESTIC FINANCING IN ZAMBIA</w:t>
      </w:r>
    </w:p>
    <w:p w14:paraId="212526F9" w14:textId="77777777" w:rsidR="00E66410" w:rsidRPr="00E66410" w:rsidRDefault="00E66410" w:rsidP="00E66410">
      <w:pPr>
        <w:spacing w:after="200" w:line="276" w:lineRule="auto"/>
        <w:jc w:val="center"/>
        <w:rPr>
          <w:rFonts w:ascii="Calibri" w:eastAsia="Calibri" w:hAnsi="Calibri" w:cs="Times New Roman"/>
          <w:b/>
          <w:sz w:val="28"/>
          <w:szCs w:val="28"/>
        </w:rPr>
      </w:pPr>
    </w:p>
    <w:p w14:paraId="6DAB1528" w14:textId="77777777" w:rsidR="00E66410" w:rsidRDefault="00E66410" w:rsidP="00E66410">
      <w:pPr>
        <w:spacing w:after="200" w:line="276" w:lineRule="auto"/>
        <w:jc w:val="center"/>
        <w:rPr>
          <w:rFonts w:ascii="Calibri" w:eastAsia="Calibri" w:hAnsi="Calibri" w:cs="Times New Roman"/>
          <w:b/>
          <w:sz w:val="28"/>
          <w:szCs w:val="28"/>
        </w:rPr>
      </w:pPr>
    </w:p>
    <w:p w14:paraId="57578CC7" w14:textId="77777777" w:rsidR="00E66410" w:rsidRDefault="00E66410" w:rsidP="00E66410">
      <w:pPr>
        <w:spacing w:after="200" w:line="276" w:lineRule="auto"/>
        <w:jc w:val="center"/>
        <w:rPr>
          <w:rFonts w:ascii="Calibri" w:eastAsia="Calibri" w:hAnsi="Calibri" w:cs="Times New Roman"/>
          <w:b/>
          <w:sz w:val="28"/>
          <w:szCs w:val="28"/>
        </w:rPr>
      </w:pPr>
    </w:p>
    <w:p w14:paraId="54C081D6" w14:textId="77777777" w:rsidR="00E66410" w:rsidRDefault="00E66410" w:rsidP="00E66410">
      <w:pPr>
        <w:spacing w:after="200" w:line="276" w:lineRule="auto"/>
        <w:jc w:val="center"/>
        <w:rPr>
          <w:rFonts w:ascii="Calibri" w:eastAsia="Calibri" w:hAnsi="Calibri" w:cs="Times New Roman"/>
          <w:b/>
          <w:sz w:val="28"/>
          <w:szCs w:val="28"/>
        </w:rPr>
      </w:pPr>
    </w:p>
    <w:p w14:paraId="7841DCE2" w14:textId="77777777" w:rsidR="00E66410" w:rsidRDefault="00E66410" w:rsidP="00E66410">
      <w:pPr>
        <w:spacing w:after="200" w:line="276" w:lineRule="auto"/>
        <w:jc w:val="center"/>
        <w:rPr>
          <w:rFonts w:ascii="Calibri" w:eastAsia="Calibri" w:hAnsi="Calibri" w:cs="Times New Roman"/>
          <w:b/>
          <w:sz w:val="28"/>
          <w:szCs w:val="28"/>
        </w:rPr>
      </w:pPr>
    </w:p>
    <w:p w14:paraId="2954DE73" w14:textId="2B6F6F78" w:rsidR="00E66410" w:rsidRDefault="00E66410" w:rsidP="00E66410">
      <w:pPr>
        <w:spacing w:after="200" w:line="276" w:lineRule="auto"/>
        <w:jc w:val="center"/>
        <w:rPr>
          <w:rFonts w:ascii="Calibri" w:eastAsia="Calibri" w:hAnsi="Calibri" w:cs="Times New Roman"/>
          <w:b/>
          <w:sz w:val="28"/>
          <w:szCs w:val="28"/>
        </w:rPr>
      </w:pPr>
      <w:r>
        <w:rPr>
          <w:rFonts w:ascii="Calibri" w:eastAsia="Calibri" w:hAnsi="Calibri" w:cs="Times New Roman"/>
          <w:b/>
          <w:sz w:val="28"/>
          <w:szCs w:val="28"/>
        </w:rPr>
        <w:t>Grayson Koyi</w:t>
      </w:r>
    </w:p>
    <w:p w14:paraId="39A6E1CD" w14:textId="52315A07" w:rsidR="00E66410" w:rsidRDefault="00E66410" w:rsidP="00E66410">
      <w:pPr>
        <w:spacing w:after="200" w:line="276" w:lineRule="auto"/>
        <w:jc w:val="center"/>
        <w:rPr>
          <w:rFonts w:ascii="Calibri" w:eastAsia="Calibri" w:hAnsi="Calibri" w:cs="Times New Roman"/>
          <w:b/>
          <w:sz w:val="28"/>
          <w:szCs w:val="28"/>
        </w:rPr>
      </w:pPr>
      <w:r>
        <w:rPr>
          <w:rFonts w:ascii="Calibri" w:eastAsia="Calibri" w:hAnsi="Calibri" w:cs="Times New Roman"/>
          <w:b/>
          <w:sz w:val="28"/>
          <w:szCs w:val="28"/>
        </w:rPr>
        <w:t>Institute of Economic and Social Research</w:t>
      </w:r>
    </w:p>
    <w:p w14:paraId="4A578F3E" w14:textId="1C1F090E" w:rsidR="00E66410" w:rsidRPr="00E66410" w:rsidRDefault="00E66410" w:rsidP="00E66410">
      <w:pPr>
        <w:spacing w:after="200" w:line="276" w:lineRule="auto"/>
        <w:jc w:val="center"/>
        <w:rPr>
          <w:rFonts w:ascii="Calibri" w:eastAsia="Calibri" w:hAnsi="Calibri" w:cs="Times New Roman"/>
          <w:b/>
          <w:sz w:val="28"/>
          <w:szCs w:val="28"/>
        </w:rPr>
      </w:pPr>
      <w:r>
        <w:rPr>
          <w:rFonts w:ascii="Calibri" w:eastAsia="Calibri" w:hAnsi="Calibri" w:cs="Times New Roman"/>
          <w:b/>
          <w:sz w:val="28"/>
          <w:szCs w:val="28"/>
        </w:rPr>
        <w:t>University of Zambia</w:t>
      </w:r>
    </w:p>
    <w:p w14:paraId="37E699E6" w14:textId="51B97500" w:rsidR="00E66410" w:rsidRPr="00E66410" w:rsidRDefault="002F426D" w:rsidP="00E66410">
      <w:pPr>
        <w:spacing w:after="200" w:line="276" w:lineRule="auto"/>
        <w:jc w:val="center"/>
        <w:rPr>
          <w:rFonts w:ascii="Calibri" w:eastAsia="Calibri" w:hAnsi="Calibri" w:cs="Times New Roman"/>
          <w:b/>
          <w:sz w:val="28"/>
          <w:szCs w:val="28"/>
        </w:rPr>
      </w:pPr>
      <w:r>
        <w:rPr>
          <w:rFonts w:ascii="Calibri" w:eastAsia="Calibri" w:hAnsi="Calibri" w:cs="Times New Roman"/>
          <w:b/>
          <w:sz w:val="28"/>
          <w:szCs w:val="28"/>
        </w:rPr>
        <w:t>June</w:t>
      </w:r>
      <w:r w:rsidR="00E66410">
        <w:rPr>
          <w:rFonts w:ascii="Calibri" w:eastAsia="Calibri" w:hAnsi="Calibri" w:cs="Times New Roman"/>
          <w:b/>
          <w:sz w:val="28"/>
          <w:szCs w:val="28"/>
        </w:rPr>
        <w:t>, 2016</w:t>
      </w:r>
    </w:p>
    <w:p w14:paraId="24AAE845" w14:textId="77777777" w:rsidR="00E66410" w:rsidRPr="00E66410" w:rsidRDefault="00E66410" w:rsidP="00E66410">
      <w:pPr>
        <w:spacing w:after="200" w:line="276" w:lineRule="auto"/>
        <w:rPr>
          <w:rFonts w:ascii="Calibri" w:eastAsia="Calibri" w:hAnsi="Calibri" w:cs="Times New Roman"/>
        </w:rPr>
      </w:pPr>
    </w:p>
    <w:p w14:paraId="6F621274" w14:textId="77777777" w:rsidR="00E66410" w:rsidRPr="00E66410" w:rsidRDefault="00E66410" w:rsidP="00E66410">
      <w:pPr>
        <w:spacing w:after="200" w:line="276" w:lineRule="auto"/>
        <w:rPr>
          <w:rFonts w:ascii="Calibri" w:eastAsia="Calibri" w:hAnsi="Calibri" w:cs="Times New Roman"/>
        </w:rPr>
      </w:pPr>
    </w:p>
    <w:p w14:paraId="206AD50B" w14:textId="77777777" w:rsidR="00E66410" w:rsidRPr="00E66410" w:rsidRDefault="00E66410" w:rsidP="00E66410">
      <w:pPr>
        <w:spacing w:after="200" w:line="276" w:lineRule="auto"/>
        <w:rPr>
          <w:rFonts w:ascii="Calibri" w:eastAsia="Calibri" w:hAnsi="Calibri" w:cs="Times New Roman"/>
          <w:b/>
          <w:i/>
        </w:rPr>
      </w:pPr>
      <w:r w:rsidRPr="00E66410">
        <w:rPr>
          <w:rFonts w:ascii="Calibri" w:eastAsia="Calibri" w:hAnsi="Calibri" w:cs="Times New Roman"/>
          <w:b/>
          <w:i/>
        </w:rPr>
        <w:t>Research Funded through:</w:t>
      </w:r>
    </w:p>
    <w:p w14:paraId="3D7BC5DD" w14:textId="77777777" w:rsidR="00E66410" w:rsidRPr="00E66410" w:rsidRDefault="00E66410" w:rsidP="00E66410">
      <w:pPr>
        <w:spacing w:after="200" w:line="276" w:lineRule="auto"/>
        <w:jc w:val="center"/>
        <w:rPr>
          <w:rFonts w:ascii="Calibri" w:eastAsia="Calibri" w:hAnsi="Calibri" w:cs="Times New Roman"/>
        </w:rPr>
      </w:pPr>
      <w:r w:rsidRPr="00E66410">
        <w:rPr>
          <w:rFonts w:ascii="Calibri" w:eastAsia="Calibri" w:hAnsi="Calibri" w:cs="Times New Roman"/>
          <w:noProof/>
          <w:lang w:val="en-US"/>
        </w:rPr>
        <w:drawing>
          <wp:inline distT="0" distB="0" distL="0" distR="0" wp14:anchorId="6808FFE0" wp14:editId="3C4D1E40">
            <wp:extent cx="1333500" cy="1112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333500" cy="1112520"/>
                    </a:xfrm>
                    <a:prstGeom prst="rect">
                      <a:avLst/>
                    </a:prstGeom>
                    <a:noFill/>
                  </pic:spPr>
                </pic:pic>
              </a:graphicData>
            </a:graphic>
          </wp:inline>
        </w:drawing>
      </w:r>
    </w:p>
    <w:p w14:paraId="506271F8" w14:textId="77777777" w:rsidR="00E66410" w:rsidRPr="00E66410" w:rsidRDefault="00E66410" w:rsidP="00E66410">
      <w:pPr>
        <w:spacing w:after="0" w:line="276" w:lineRule="auto"/>
        <w:jc w:val="center"/>
        <w:rPr>
          <w:rFonts w:ascii="Palatino Linotype" w:eastAsia="Calibri" w:hAnsi="Palatino Linotype" w:cs="Times New Roman"/>
          <w:b/>
          <w:color w:val="008000"/>
          <w:sz w:val="20"/>
          <w:szCs w:val="20"/>
        </w:rPr>
      </w:pPr>
      <w:r w:rsidRPr="00E66410">
        <w:rPr>
          <w:rFonts w:ascii="Palatino Linotype" w:eastAsia="Calibri" w:hAnsi="Palatino Linotype" w:cs="Times New Roman"/>
          <w:b/>
          <w:color w:val="008000"/>
          <w:sz w:val="20"/>
          <w:szCs w:val="20"/>
        </w:rPr>
        <w:t xml:space="preserve">ZAMBIA NATIONAL EDUCATION COALITION </w:t>
      </w:r>
    </w:p>
    <w:p w14:paraId="6BBB2A42" w14:textId="77777777" w:rsidR="00E66410" w:rsidRPr="00E66410" w:rsidRDefault="00E66410" w:rsidP="00E66410">
      <w:pPr>
        <w:spacing w:after="0" w:line="276" w:lineRule="auto"/>
        <w:jc w:val="center"/>
        <w:rPr>
          <w:rFonts w:ascii="Palatino Linotype" w:eastAsia="Calibri" w:hAnsi="Palatino Linotype" w:cs="Times New Roman"/>
          <w:b/>
          <w:color w:val="008000"/>
          <w:sz w:val="20"/>
          <w:szCs w:val="20"/>
        </w:rPr>
      </w:pPr>
      <w:r w:rsidRPr="00E66410">
        <w:rPr>
          <w:rFonts w:ascii="Palatino Linotype" w:eastAsia="Calibri" w:hAnsi="Palatino Linotype" w:cs="Times New Roman"/>
          <w:b/>
          <w:color w:val="008000"/>
          <w:sz w:val="20"/>
          <w:szCs w:val="20"/>
        </w:rPr>
        <w:t>(ZANEC)</w:t>
      </w:r>
    </w:p>
    <w:p w14:paraId="065106CA" w14:textId="77777777" w:rsidR="00E66410" w:rsidRPr="00E66410" w:rsidRDefault="00E66410" w:rsidP="00E66410">
      <w:pPr>
        <w:spacing w:after="200" w:line="276" w:lineRule="auto"/>
        <w:rPr>
          <w:rFonts w:ascii="Times New Roman" w:eastAsia="Calibri" w:hAnsi="Times New Roman" w:cs="Times New Roman"/>
          <w:b/>
          <w:sz w:val="24"/>
          <w:szCs w:val="24"/>
        </w:rPr>
      </w:pPr>
      <w:r w:rsidRPr="00E66410">
        <w:rPr>
          <w:rFonts w:ascii="Calibri" w:eastAsia="Calibri" w:hAnsi="Calibri" w:cs="Times New Roman"/>
        </w:rPr>
        <w:br w:type="page"/>
      </w:r>
      <w:r w:rsidRPr="00E66410">
        <w:rPr>
          <w:rFonts w:ascii="Times New Roman" w:eastAsia="Calibri" w:hAnsi="Times New Roman" w:cs="Times New Roman"/>
          <w:b/>
          <w:sz w:val="24"/>
          <w:szCs w:val="24"/>
        </w:rPr>
        <w:lastRenderedPageBreak/>
        <w:t>ACKNOWLEDGEMENT</w:t>
      </w:r>
    </w:p>
    <w:p w14:paraId="6D7E1A91" w14:textId="221A6566" w:rsidR="00E66410" w:rsidRPr="00E66410" w:rsidRDefault="00826FC8" w:rsidP="00826FC8">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 researcher</w:t>
      </w:r>
      <w:r w:rsidR="00E66410" w:rsidRPr="00E66410">
        <w:rPr>
          <w:rFonts w:ascii="Times New Roman" w:eastAsia="Calibri" w:hAnsi="Times New Roman" w:cs="Times New Roman"/>
          <w:sz w:val="24"/>
          <w:szCs w:val="24"/>
        </w:rPr>
        <w:t xml:space="preserve"> wish</w:t>
      </w:r>
      <w:r>
        <w:rPr>
          <w:rFonts w:ascii="Times New Roman" w:eastAsia="Calibri" w:hAnsi="Times New Roman" w:cs="Times New Roman"/>
          <w:sz w:val="24"/>
          <w:szCs w:val="24"/>
        </w:rPr>
        <w:t>es</w:t>
      </w:r>
      <w:r w:rsidR="00E66410" w:rsidRPr="00E66410">
        <w:rPr>
          <w:rFonts w:ascii="Times New Roman" w:eastAsia="Calibri" w:hAnsi="Times New Roman" w:cs="Times New Roman"/>
          <w:sz w:val="24"/>
          <w:szCs w:val="24"/>
        </w:rPr>
        <w:t xml:space="preserve"> to thank all those who contributed to th</w:t>
      </w:r>
      <w:r>
        <w:rPr>
          <w:rFonts w:ascii="Times New Roman" w:eastAsia="Calibri" w:hAnsi="Times New Roman" w:cs="Times New Roman"/>
          <w:sz w:val="24"/>
          <w:szCs w:val="24"/>
        </w:rPr>
        <w:t xml:space="preserve">is study in one way or another, </w:t>
      </w:r>
      <w:r w:rsidR="00E66410" w:rsidRPr="00E66410">
        <w:rPr>
          <w:rFonts w:ascii="Times New Roman" w:eastAsia="Calibri" w:hAnsi="Times New Roman" w:cs="Times New Roman"/>
          <w:sz w:val="24"/>
          <w:szCs w:val="24"/>
        </w:rPr>
        <w:t>especially those that were available to provide information on various aspects of the study.</w:t>
      </w:r>
    </w:p>
    <w:p w14:paraId="19CE2CCE" w14:textId="7E83BC98" w:rsidR="00E66410" w:rsidRPr="00E66410" w:rsidRDefault="00E66410" w:rsidP="00826FC8">
      <w:pPr>
        <w:spacing w:after="200" w:line="276" w:lineRule="auto"/>
        <w:jc w:val="both"/>
        <w:rPr>
          <w:rFonts w:ascii="Times New Roman" w:eastAsia="Calibri" w:hAnsi="Times New Roman" w:cs="Times New Roman"/>
          <w:sz w:val="24"/>
          <w:szCs w:val="24"/>
        </w:rPr>
      </w:pPr>
      <w:r w:rsidRPr="00E66410">
        <w:rPr>
          <w:rFonts w:ascii="Times New Roman" w:eastAsia="Calibri" w:hAnsi="Times New Roman" w:cs="Times New Roman"/>
          <w:sz w:val="24"/>
          <w:szCs w:val="24"/>
        </w:rPr>
        <w:t xml:space="preserve">Special </w:t>
      </w:r>
      <w:r w:rsidR="00826FC8">
        <w:rPr>
          <w:rFonts w:ascii="Times New Roman" w:eastAsia="Calibri" w:hAnsi="Times New Roman" w:cs="Times New Roman"/>
          <w:sz w:val="24"/>
          <w:szCs w:val="24"/>
        </w:rPr>
        <w:t xml:space="preserve">thanks </w:t>
      </w:r>
      <w:r w:rsidRPr="00E66410">
        <w:rPr>
          <w:rFonts w:ascii="Times New Roman" w:eastAsia="Calibri" w:hAnsi="Times New Roman" w:cs="Times New Roman"/>
          <w:sz w:val="24"/>
          <w:szCs w:val="24"/>
        </w:rPr>
        <w:t>go to ZANEC for funding the study.</w:t>
      </w:r>
    </w:p>
    <w:p w14:paraId="1599A5B1" w14:textId="77777777" w:rsidR="00E66410" w:rsidRPr="00E66410" w:rsidRDefault="00E66410" w:rsidP="00826FC8">
      <w:pPr>
        <w:spacing w:after="200" w:line="276" w:lineRule="auto"/>
        <w:jc w:val="both"/>
        <w:rPr>
          <w:rFonts w:ascii="Times New Roman" w:eastAsia="Calibri" w:hAnsi="Times New Roman" w:cs="Times New Roman"/>
          <w:sz w:val="24"/>
          <w:szCs w:val="24"/>
        </w:rPr>
      </w:pPr>
      <w:r w:rsidRPr="00E66410">
        <w:rPr>
          <w:rFonts w:ascii="Times New Roman" w:eastAsia="Calibri" w:hAnsi="Times New Roman" w:cs="Times New Roman"/>
          <w:sz w:val="24"/>
          <w:szCs w:val="24"/>
        </w:rPr>
        <w:t xml:space="preserve">The views expressed in this document are those of the researcher. </w:t>
      </w:r>
    </w:p>
    <w:p w14:paraId="42763C63" w14:textId="60DB25B0" w:rsidR="00E66410" w:rsidRPr="00E66410" w:rsidRDefault="00826FC8" w:rsidP="00826FC8">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 researcher has</w:t>
      </w:r>
      <w:r w:rsidR="00E66410" w:rsidRPr="00E66410">
        <w:rPr>
          <w:rFonts w:ascii="Times New Roman" w:eastAsia="Calibri" w:hAnsi="Times New Roman" w:cs="Times New Roman"/>
          <w:sz w:val="24"/>
          <w:szCs w:val="24"/>
        </w:rPr>
        <w:t xml:space="preserve"> gone to great length in trying to ensure th</w:t>
      </w:r>
      <w:r>
        <w:rPr>
          <w:rFonts w:ascii="Times New Roman" w:eastAsia="Calibri" w:hAnsi="Times New Roman" w:cs="Times New Roman"/>
          <w:sz w:val="24"/>
          <w:szCs w:val="24"/>
        </w:rPr>
        <w:t xml:space="preserve">at the information contained in </w:t>
      </w:r>
      <w:r w:rsidR="00E66410" w:rsidRPr="00E66410">
        <w:rPr>
          <w:rFonts w:ascii="Times New Roman" w:eastAsia="Calibri" w:hAnsi="Times New Roman" w:cs="Times New Roman"/>
          <w:sz w:val="24"/>
          <w:szCs w:val="24"/>
        </w:rPr>
        <w:t xml:space="preserve">this document is as was provided by the various sources. However, should there be any </w:t>
      </w:r>
      <w:r w:rsidRPr="00E66410">
        <w:rPr>
          <w:rFonts w:ascii="Times New Roman" w:eastAsia="Calibri" w:hAnsi="Times New Roman" w:cs="Times New Roman"/>
          <w:sz w:val="24"/>
          <w:szCs w:val="24"/>
        </w:rPr>
        <w:t>errors or</w:t>
      </w:r>
      <w:r w:rsidR="00E66410" w:rsidRPr="00E66410">
        <w:rPr>
          <w:rFonts w:ascii="Times New Roman" w:eastAsia="Calibri" w:hAnsi="Times New Roman" w:cs="Times New Roman"/>
          <w:sz w:val="24"/>
          <w:szCs w:val="24"/>
        </w:rPr>
        <w:t xml:space="preserve"> misstatements, please contact the undersigned.</w:t>
      </w:r>
    </w:p>
    <w:p w14:paraId="4CF76793" w14:textId="73B52397" w:rsidR="00E66410" w:rsidRPr="00E66410" w:rsidRDefault="00826FC8" w:rsidP="00826FC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Grays</w:t>
      </w:r>
      <w:r w:rsidR="00A70087">
        <w:rPr>
          <w:rFonts w:ascii="Times New Roman" w:eastAsia="Calibri" w:hAnsi="Times New Roman" w:cs="Times New Roman"/>
          <w:sz w:val="24"/>
          <w:szCs w:val="24"/>
        </w:rPr>
        <w:t xml:space="preserve">on Koyi </w:t>
      </w:r>
    </w:p>
    <w:p w14:paraId="4A4D426D" w14:textId="51D231F9" w:rsidR="00E66410" w:rsidRPr="00E66410" w:rsidRDefault="00826FC8" w:rsidP="00826FC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color w:val="0000FF"/>
          <w:sz w:val="24"/>
          <w:szCs w:val="24"/>
          <w:u w:val="single"/>
        </w:rPr>
        <w:t>grayson.koyi@unza.zm</w:t>
      </w:r>
    </w:p>
    <w:p w14:paraId="10FA2924" w14:textId="6CB9CE23" w:rsidR="00E66410" w:rsidRPr="00E66410" w:rsidRDefault="00826FC8" w:rsidP="00826FC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+260 977 783425</w:t>
      </w:r>
    </w:p>
    <w:p w14:paraId="72DBC667" w14:textId="77777777" w:rsidR="00E66410" w:rsidRDefault="00E66410" w:rsidP="003D3DE2">
      <w:pPr>
        <w:pStyle w:val="TOCHeading"/>
        <w:jc w:val="center"/>
        <w:rPr>
          <w:rFonts w:asciiTheme="minorHAnsi" w:eastAsiaTheme="minorHAnsi" w:hAnsiTheme="minorHAnsi" w:cstheme="minorBidi"/>
          <w:color w:val="auto"/>
          <w:sz w:val="22"/>
          <w:szCs w:val="22"/>
          <w:lang w:val="en-GB"/>
        </w:rPr>
      </w:pPr>
    </w:p>
    <w:p w14:paraId="74575BF8" w14:textId="77777777" w:rsidR="00E66410" w:rsidRDefault="00E66410" w:rsidP="003D3DE2">
      <w:pPr>
        <w:pStyle w:val="TOCHeading"/>
        <w:jc w:val="center"/>
        <w:rPr>
          <w:rFonts w:asciiTheme="minorHAnsi" w:eastAsiaTheme="minorHAnsi" w:hAnsiTheme="minorHAnsi" w:cstheme="minorBidi"/>
          <w:color w:val="auto"/>
          <w:sz w:val="22"/>
          <w:szCs w:val="22"/>
          <w:lang w:val="en-GB"/>
        </w:rPr>
      </w:pPr>
    </w:p>
    <w:p w14:paraId="5670315A" w14:textId="77777777" w:rsidR="00E66410" w:rsidRDefault="00E66410" w:rsidP="003D3DE2">
      <w:pPr>
        <w:pStyle w:val="TOCHeading"/>
        <w:jc w:val="center"/>
        <w:rPr>
          <w:rFonts w:asciiTheme="minorHAnsi" w:eastAsiaTheme="minorHAnsi" w:hAnsiTheme="minorHAnsi" w:cstheme="minorBidi"/>
          <w:color w:val="auto"/>
          <w:sz w:val="22"/>
          <w:szCs w:val="22"/>
          <w:lang w:val="en-GB"/>
        </w:rPr>
      </w:pPr>
    </w:p>
    <w:p w14:paraId="18F1FB0E" w14:textId="77777777" w:rsidR="00C412A6" w:rsidRDefault="00C412A6" w:rsidP="00C412A6"/>
    <w:p w14:paraId="163907A1" w14:textId="77777777" w:rsidR="00C412A6" w:rsidRDefault="00C412A6" w:rsidP="00C412A6"/>
    <w:p w14:paraId="24E6602A" w14:textId="77777777" w:rsidR="00C412A6" w:rsidRDefault="00C412A6" w:rsidP="00C412A6"/>
    <w:p w14:paraId="3503F956" w14:textId="77777777" w:rsidR="00C412A6" w:rsidRDefault="00C412A6" w:rsidP="00C412A6"/>
    <w:p w14:paraId="7481160E" w14:textId="77777777" w:rsidR="00C412A6" w:rsidRDefault="00C412A6" w:rsidP="00C412A6"/>
    <w:p w14:paraId="173811AC" w14:textId="77777777" w:rsidR="00C412A6" w:rsidRDefault="00C412A6" w:rsidP="00C412A6"/>
    <w:p w14:paraId="5D0AAD41" w14:textId="77777777" w:rsidR="00C412A6" w:rsidRDefault="00C412A6" w:rsidP="00C412A6"/>
    <w:p w14:paraId="7DA5722C" w14:textId="77777777" w:rsidR="00C412A6" w:rsidRDefault="00C412A6" w:rsidP="00C412A6"/>
    <w:p w14:paraId="4F1A00D6" w14:textId="77777777" w:rsidR="00C412A6" w:rsidRDefault="00C412A6" w:rsidP="00C412A6"/>
    <w:p w14:paraId="339EFF83" w14:textId="77777777" w:rsidR="00C412A6" w:rsidRDefault="00C412A6" w:rsidP="00C412A6"/>
    <w:p w14:paraId="75BD2266" w14:textId="77777777" w:rsidR="00C412A6" w:rsidRDefault="00C412A6" w:rsidP="00C412A6"/>
    <w:p w14:paraId="73DD8CC7" w14:textId="77777777" w:rsidR="00C412A6" w:rsidRDefault="00C412A6" w:rsidP="00C412A6"/>
    <w:p w14:paraId="156E9386" w14:textId="77777777" w:rsidR="00C412A6" w:rsidRDefault="00C412A6" w:rsidP="00C412A6"/>
    <w:p w14:paraId="4E1E3E71" w14:textId="77777777" w:rsidR="00C412A6" w:rsidRDefault="00C412A6" w:rsidP="00C412A6"/>
    <w:p w14:paraId="794E48D1" w14:textId="77777777" w:rsidR="00C412A6" w:rsidRDefault="00C412A6" w:rsidP="00C412A6"/>
    <w:p w14:paraId="4B4C7CFA" w14:textId="77777777" w:rsidR="00C412A6" w:rsidRDefault="00C412A6" w:rsidP="00C412A6"/>
    <w:p w14:paraId="506350D2" w14:textId="77777777" w:rsidR="00C412A6" w:rsidRDefault="00C412A6" w:rsidP="00C412A6"/>
    <w:p w14:paraId="2EE2B7D8" w14:textId="77777777" w:rsidR="00C412A6" w:rsidRPr="00C412A6" w:rsidRDefault="00C412A6" w:rsidP="00C412A6"/>
    <w:sdt>
      <w:sdtPr>
        <w:rPr>
          <w:rFonts w:asciiTheme="minorHAnsi" w:eastAsiaTheme="minorHAnsi" w:hAnsiTheme="minorHAnsi" w:cstheme="minorBidi"/>
          <w:color w:val="auto"/>
          <w:sz w:val="22"/>
          <w:szCs w:val="22"/>
          <w:lang w:val="en-GB"/>
        </w:rPr>
        <w:id w:val="1258475166"/>
        <w:docPartObj>
          <w:docPartGallery w:val="Table of Contents"/>
          <w:docPartUnique/>
        </w:docPartObj>
      </w:sdtPr>
      <w:sdtEndPr>
        <w:rPr>
          <w:rFonts w:ascii="Times New Roman" w:hAnsi="Times New Roman" w:cs="Times New Roman"/>
          <w:b/>
          <w:bCs/>
          <w:noProof/>
        </w:rPr>
      </w:sdtEndPr>
      <w:sdtContent>
        <w:p w14:paraId="26C84910" w14:textId="77777777" w:rsidR="003D3DE2" w:rsidRPr="00291B12" w:rsidRDefault="003D3DE2" w:rsidP="003D3DE2">
          <w:pPr>
            <w:pStyle w:val="TOCHeading"/>
            <w:jc w:val="center"/>
            <w:rPr>
              <w:rFonts w:ascii="Times New Roman" w:hAnsi="Times New Roman" w:cs="Times New Roman"/>
            </w:rPr>
          </w:pPr>
          <w:r w:rsidRPr="00291B12">
            <w:rPr>
              <w:rFonts w:ascii="Times New Roman" w:hAnsi="Times New Roman" w:cs="Times New Roman"/>
            </w:rPr>
            <w:t>Table of Contents</w:t>
          </w:r>
        </w:p>
        <w:p w14:paraId="46DDDE41" w14:textId="77777777" w:rsidR="00AF4D38" w:rsidRDefault="00036E90">
          <w:pPr>
            <w:pStyle w:val="TOC1"/>
            <w:rPr>
              <w:rFonts w:asciiTheme="minorHAnsi" w:eastAsiaTheme="minorEastAsia" w:hAnsiTheme="minorHAnsi" w:cstheme="minorBidi"/>
              <w:b w:val="0"/>
              <w:lang w:eastAsia="en-GB"/>
            </w:rPr>
          </w:pPr>
          <w:r w:rsidRPr="00291B12">
            <w:fldChar w:fldCharType="begin"/>
          </w:r>
          <w:r w:rsidR="003D3DE2" w:rsidRPr="00291B12">
            <w:instrText xml:space="preserve"> TOC \o "1-3" \h \z \u </w:instrText>
          </w:r>
          <w:r w:rsidRPr="00291B12">
            <w:fldChar w:fldCharType="separate"/>
          </w:r>
          <w:hyperlink w:anchor="_Toc458687335" w:history="1">
            <w:r w:rsidR="00AF4D38" w:rsidRPr="00153995">
              <w:rPr>
                <w:rStyle w:val="Hyperlink"/>
                <w:lang w:val="en-US"/>
              </w:rPr>
              <w:t>List of Abbreviations</w:t>
            </w:r>
            <w:r w:rsidR="00AF4D38">
              <w:rPr>
                <w:webHidden/>
              </w:rPr>
              <w:tab/>
            </w:r>
            <w:r w:rsidR="00AF4D38">
              <w:rPr>
                <w:webHidden/>
              </w:rPr>
              <w:fldChar w:fldCharType="begin"/>
            </w:r>
            <w:r w:rsidR="00AF4D38">
              <w:rPr>
                <w:webHidden/>
              </w:rPr>
              <w:instrText xml:space="preserve"> PAGEREF _Toc458687335 \h </w:instrText>
            </w:r>
            <w:r w:rsidR="00AF4D38">
              <w:rPr>
                <w:webHidden/>
              </w:rPr>
            </w:r>
            <w:r w:rsidR="00AF4D38">
              <w:rPr>
                <w:webHidden/>
              </w:rPr>
              <w:fldChar w:fldCharType="separate"/>
            </w:r>
            <w:r w:rsidR="00AF4D38">
              <w:rPr>
                <w:webHidden/>
              </w:rPr>
              <w:t>4</w:t>
            </w:r>
            <w:r w:rsidR="00AF4D38">
              <w:rPr>
                <w:webHidden/>
              </w:rPr>
              <w:fldChar w:fldCharType="end"/>
            </w:r>
          </w:hyperlink>
        </w:p>
        <w:p w14:paraId="48A42B78" w14:textId="77777777" w:rsidR="00AF4D38" w:rsidRDefault="0032666D">
          <w:pPr>
            <w:pStyle w:val="TOC2"/>
            <w:tabs>
              <w:tab w:val="right" w:leader="dot" w:pos="9016"/>
            </w:tabs>
            <w:rPr>
              <w:rFonts w:eastAsiaTheme="minorEastAsia"/>
              <w:noProof/>
              <w:lang w:eastAsia="en-GB"/>
            </w:rPr>
          </w:pPr>
          <w:hyperlink w:anchor="_Toc458687336" w:history="1">
            <w:r w:rsidR="00AF4D38" w:rsidRPr="00153995">
              <w:rPr>
                <w:rStyle w:val="Hyperlink"/>
                <w:rFonts w:ascii="Times New Roman" w:eastAsiaTheme="majorEastAsia" w:hAnsi="Times New Roman" w:cs="Times New Roman"/>
                <w:noProof/>
                <w:lang w:val="en-US"/>
              </w:rPr>
              <w:t>Executive Summary</w:t>
            </w:r>
            <w:r w:rsidR="00AF4D38">
              <w:rPr>
                <w:noProof/>
                <w:webHidden/>
              </w:rPr>
              <w:tab/>
            </w:r>
            <w:r w:rsidR="00AF4D38">
              <w:rPr>
                <w:noProof/>
                <w:webHidden/>
              </w:rPr>
              <w:fldChar w:fldCharType="begin"/>
            </w:r>
            <w:r w:rsidR="00AF4D38">
              <w:rPr>
                <w:noProof/>
                <w:webHidden/>
              </w:rPr>
              <w:instrText xml:space="preserve"> PAGEREF _Toc458687336 \h </w:instrText>
            </w:r>
            <w:r w:rsidR="00AF4D38">
              <w:rPr>
                <w:noProof/>
                <w:webHidden/>
              </w:rPr>
            </w:r>
            <w:r w:rsidR="00AF4D38">
              <w:rPr>
                <w:noProof/>
                <w:webHidden/>
              </w:rPr>
              <w:fldChar w:fldCharType="separate"/>
            </w:r>
            <w:r w:rsidR="00AF4D38">
              <w:rPr>
                <w:noProof/>
                <w:webHidden/>
              </w:rPr>
              <w:t>5</w:t>
            </w:r>
            <w:r w:rsidR="00AF4D38">
              <w:rPr>
                <w:noProof/>
                <w:webHidden/>
              </w:rPr>
              <w:fldChar w:fldCharType="end"/>
            </w:r>
          </w:hyperlink>
        </w:p>
        <w:p w14:paraId="5D247BD9" w14:textId="77777777" w:rsidR="00AF4D38" w:rsidRDefault="0032666D">
          <w:pPr>
            <w:pStyle w:val="TOC1"/>
            <w:rPr>
              <w:rFonts w:asciiTheme="minorHAnsi" w:eastAsiaTheme="minorEastAsia" w:hAnsiTheme="minorHAnsi" w:cstheme="minorBidi"/>
              <w:b w:val="0"/>
              <w:lang w:eastAsia="en-GB"/>
            </w:rPr>
          </w:pPr>
          <w:hyperlink w:anchor="_Toc458687337" w:history="1">
            <w:r w:rsidR="00AF4D38" w:rsidRPr="00153995">
              <w:rPr>
                <w:rStyle w:val="Hyperlink"/>
              </w:rPr>
              <w:t>1.0: Introduction</w:t>
            </w:r>
            <w:r w:rsidR="00AF4D38">
              <w:rPr>
                <w:webHidden/>
              </w:rPr>
              <w:tab/>
            </w:r>
            <w:r w:rsidR="00AF4D38">
              <w:rPr>
                <w:webHidden/>
              </w:rPr>
              <w:fldChar w:fldCharType="begin"/>
            </w:r>
            <w:r w:rsidR="00AF4D38">
              <w:rPr>
                <w:webHidden/>
              </w:rPr>
              <w:instrText xml:space="preserve"> PAGEREF _Toc458687337 \h </w:instrText>
            </w:r>
            <w:r w:rsidR="00AF4D38">
              <w:rPr>
                <w:webHidden/>
              </w:rPr>
            </w:r>
            <w:r w:rsidR="00AF4D38">
              <w:rPr>
                <w:webHidden/>
              </w:rPr>
              <w:fldChar w:fldCharType="separate"/>
            </w:r>
            <w:r w:rsidR="00AF4D38">
              <w:rPr>
                <w:webHidden/>
              </w:rPr>
              <w:t>9</w:t>
            </w:r>
            <w:r w:rsidR="00AF4D38">
              <w:rPr>
                <w:webHidden/>
              </w:rPr>
              <w:fldChar w:fldCharType="end"/>
            </w:r>
          </w:hyperlink>
        </w:p>
        <w:p w14:paraId="5BB02B31" w14:textId="77777777" w:rsidR="00AF4D38" w:rsidRDefault="0032666D">
          <w:pPr>
            <w:pStyle w:val="TOC2"/>
            <w:tabs>
              <w:tab w:val="left" w:pos="880"/>
              <w:tab w:val="right" w:leader="dot" w:pos="9016"/>
            </w:tabs>
            <w:rPr>
              <w:rFonts w:eastAsiaTheme="minorEastAsia"/>
              <w:noProof/>
              <w:lang w:eastAsia="en-GB"/>
            </w:rPr>
          </w:pPr>
          <w:hyperlink w:anchor="_Toc458687338" w:history="1">
            <w:r w:rsidR="00AF4D38" w:rsidRPr="00153995">
              <w:rPr>
                <w:rStyle w:val="Hyperlink"/>
                <w:rFonts w:ascii="Times New Roman" w:eastAsiaTheme="majorEastAsia" w:hAnsi="Times New Roman" w:cs="Times New Roman"/>
                <w:noProof/>
              </w:rPr>
              <w:t>1.1</w:t>
            </w:r>
            <w:r w:rsidR="00AF4D38">
              <w:rPr>
                <w:rFonts w:eastAsiaTheme="minorEastAsia"/>
                <w:noProof/>
                <w:lang w:eastAsia="en-GB"/>
              </w:rPr>
              <w:tab/>
            </w:r>
            <w:r w:rsidR="00AF4D38" w:rsidRPr="00153995">
              <w:rPr>
                <w:rStyle w:val="Hyperlink"/>
                <w:rFonts w:ascii="Times New Roman" w:eastAsiaTheme="majorEastAsia" w:hAnsi="Times New Roman" w:cs="Times New Roman"/>
                <w:noProof/>
              </w:rPr>
              <w:t>Background to the Study</w:t>
            </w:r>
            <w:r w:rsidR="00AF4D38">
              <w:rPr>
                <w:noProof/>
                <w:webHidden/>
              </w:rPr>
              <w:tab/>
            </w:r>
            <w:r w:rsidR="00AF4D38">
              <w:rPr>
                <w:noProof/>
                <w:webHidden/>
              </w:rPr>
              <w:fldChar w:fldCharType="begin"/>
            </w:r>
            <w:r w:rsidR="00AF4D38">
              <w:rPr>
                <w:noProof/>
                <w:webHidden/>
              </w:rPr>
              <w:instrText xml:space="preserve"> PAGEREF _Toc458687338 \h </w:instrText>
            </w:r>
            <w:r w:rsidR="00AF4D38">
              <w:rPr>
                <w:noProof/>
                <w:webHidden/>
              </w:rPr>
            </w:r>
            <w:r w:rsidR="00AF4D38">
              <w:rPr>
                <w:noProof/>
                <w:webHidden/>
              </w:rPr>
              <w:fldChar w:fldCharType="separate"/>
            </w:r>
            <w:r w:rsidR="00AF4D38">
              <w:rPr>
                <w:noProof/>
                <w:webHidden/>
              </w:rPr>
              <w:t>9</w:t>
            </w:r>
            <w:r w:rsidR="00AF4D38">
              <w:rPr>
                <w:noProof/>
                <w:webHidden/>
              </w:rPr>
              <w:fldChar w:fldCharType="end"/>
            </w:r>
          </w:hyperlink>
        </w:p>
        <w:p w14:paraId="1075DE34" w14:textId="77777777" w:rsidR="00AF4D38" w:rsidRDefault="0032666D">
          <w:pPr>
            <w:pStyle w:val="TOC2"/>
            <w:tabs>
              <w:tab w:val="left" w:pos="880"/>
              <w:tab w:val="right" w:leader="dot" w:pos="9016"/>
            </w:tabs>
            <w:rPr>
              <w:rFonts w:eastAsiaTheme="minorEastAsia"/>
              <w:noProof/>
              <w:lang w:eastAsia="en-GB"/>
            </w:rPr>
          </w:pPr>
          <w:hyperlink w:anchor="_Toc458687339" w:history="1">
            <w:r w:rsidR="00AF4D38" w:rsidRPr="00153995">
              <w:rPr>
                <w:rStyle w:val="Hyperlink"/>
                <w:rFonts w:ascii="Times New Roman" w:eastAsia="Calibri" w:hAnsi="Times New Roman" w:cs="Times New Roman"/>
                <w:noProof/>
                <w:lang w:val="en-US" w:eastAsia="ar-SA"/>
              </w:rPr>
              <w:t>1.2</w:t>
            </w:r>
            <w:r w:rsidR="00AF4D38">
              <w:rPr>
                <w:rFonts w:eastAsiaTheme="minorEastAsia"/>
                <w:noProof/>
                <w:lang w:eastAsia="en-GB"/>
              </w:rPr>
              <w:tab/>
            </w:r>
            <w:r w:rsidR="00AF4D38" w:rsidRPr="00153995">
              <w:rPr>
                <w:rStyle w:val="Hyperlink"/>
                <w:rFonts w:ascii="Times New Roman" w:eastAsia="Calibri" w:hAnsi="Times New Roman" w:cs="Times New Roman"/>
                <w:noProof/>
                <w:lang w:val="en-US" w:eastAsia="ar-SA"/>
              </w:rPr>
              <w:t>Research Questions:</w:t>
            </w:r>
            <w:r w:rsidR="00AF4D38">
              <w:rPr>
                <w:noProof/>
                <w:webHidden/>
              </w:rPr>
              <w:tab/>
            </w:r>
            <w:r w:rsidR="00AF4D38">
              <w:rPr>
                <w:noProof/>
                <w:webHidden/>
              </w:rPr>
              <w:fldChar w:fldCharType="begin"/>
            </w:r>
            <w:r w:rsidR="00AF4D38">
              <w:rPr>
                <w:noProof/>
                <w:webHidden/>
              </w:rPr>
              <w:instrText xml:space="preserve"> PAGEREF _Toc458687339 \h </w:instrText>
            </w:r>
            <w:r w:rsidR="00AF4D38">
              <w:rPr>
                <w:noProof/>
                <w:webHidden/>
              </w:rPr>
            </w:r>
            <w:r w:rsidR="00AF4D38">
              <w:rPr>
                <w:noProof/>
                <w:webHidden/>
              </w:rPr>
              <w:fldChar w:fldCharType="separate"/>
            </w:r>
            <w:r w:rsidR="00AF4D38">
              <w:rPr>
                <w:noProof/>
                <w:webHidden/>
              </w:rPr>
              <w:t>10</w:t>
            </w:r>
            <w:r w:rsidR="00AF4D38">
              <w:rPr>
                <w:noProof/>
                <w:webHidden/>
              </w:rPr>
              <w:fldChar w:fldCharType="end"/>
            </w:r>
          </w:hyperlink>
        </w:p>
        <w:p w14:paraId="14DA3DD8" w14:textId="77777777" w:rsidR="00AF4D38" w:rsidRDefault="0032666D">
          <w:pPr>
            <w:pStyle w:val="TOC2"/>
            <w:tabs>
              <w:tab w:val="left" w:pos="880"/>
              <w:tab w:val="right" w:leader="dot" w:pos="9016"/>
            </w:tabs>
            <w:rPr>
              <w:rFonts w:eastAsiaTheme="minorEastAsia"/>
              <w:noProof/>
              <w:lang w:eastAsia="en-GB"/>
            </w:rPr>
          </w:pPr>
          <w:hyperlink w:anchor="_Toc458687340" w:history="1">
            <w:r w:rsidR="00AF4D38" w:rsidRPr="00153995">
              <w:rPr>
                <w:rStyle w:val="Hyperlink"/>
                <w:rFonts w:ascii="Times New Roman" w:eastAsia="Calibri" w:hAnsi="Times New Roman" w:cs="Times New Roman"/>
                <w:noProof/>
                <w:lang w:val="en-IE" w:eastAsia="ar-SA"/>
              </w:rPr>
              <w:t>1.3</w:t>
            </w:r>
            <w:r w:rsidR="00AF4D38">
              <w:rPr>
                <w:rFonts w:eastAsiaTheme="minorEastAsia"/>
                <w:noProof/>
                <w:lang w:eastAsia="en-GB"/>
              </w:rPr>
              <w:tab/>
            </w:r>
            <w:r w:rsidR="00AF4D38" w:rsidRPr="00153995">
              <w:rPr>
                <w:rStyle w:val="Hyperlink"/>
                <w:rFonts w:ascii="Times New Roman" w:eastAsia="Calibri" w:hAnsi="Times New Roman" w:cs="Times New Roman"/>
                <w:noProof/>
                <w:lang w:val="en-IE" w:eastAsia="ar-SA"/>
              </w:rPr>
              <w:t>Objectives of the Study</w:t>
            </w:r>
            <w:r w:rsidR="00AF4D38">
              <w:rPr>
                <w:noProof/>
                <w:webHidden/>
              </w:rPr>
              <w:tab/>
            </w:r>
            <w:r w:rsidR="00AF4D38">
              <w:rPr>
                <w:noProof/>
                <w:webHidden/>
              </w:rPr>
              <w:fldChar w:fldCharType="begin"/>
            </w:r>
            <w:r w:rsidR="00AF4D38">
              <w:rPr>
                <w:noProof/>
                <w:webHidden/>
              </w:rPr>
              <w:instrText xml:space="preserve"> PAGEREF _Toc458687340 \h </w:instrText>
            </w:r>
            <w:r w:rsidR="00AF4D38">
              <w:rPr>
                <w:noProof/>
                <w:webHidden/>
              </w:rPr>
            </w:r>
            <w:r w:rsidR="00AF4D38">
              <w:rPr>
                <w:noProof/>
                <w:webHidden/>
              </w:rPr>
              <w:fldChar w:fldCharType="separate"/>
            </w:r>
            <w:r w:rsidR="00AF4D38">
              <w:rPr>
                <w:noProof/>
                <w:webHidden/>
              </w:rPr>
              <w:t>11</w:t>
            </w:r>
            <w:r w:rsidR="00AF4D38">
              <w:rPr>
                <w:noProof/>
                <w:webHidden/>
              </w:rPr>
              <w:fldChar w:fldCharType="end"/>
            </w:r>
          </w:hyperlink>
        </w:p>
        <w:p w14:paraId="13834FDA" w14:textId="77777777" w:rsidR="00AF4D38" w:rsidRDefault="0032666D">
          <w:pPr>
            <w:pStyle w:val="TOC2"/>
            <w:tabs>
              <w:tab w:val="left" w:pos="880"/>
              <w:tab w:val="right" w:leader="dot" w:pos="9016"/>
            </w:tabs>
            <w:rPr>
              <w:rFonts w:eastAsiaTheme="minorEastAsia"/>
              <w:noProof/>
              <w:lang w:eastAsia="en-GB"/>
            </w:rPr>
          </w:pPr>
          <w:hyperlink w:anchor="_Toc458687341" w:history="1">
            <w:r w:rsidR="00AF4D38" w:rsidRPr="00153995">
              <w:rPr>
                <w:rStyle w:val="Hyperlink"/>
                <w:rFonts w:ascii="Times New Roman" w:hAnsi="Times New Roman" w:cs="Times New Roman"/>
                <w:noProof/>
              </w:rPr>
              <w:t>1.4</w:t>
            </w:r>
            <w:r w:rsidR="00AF4D38">
              <w:rPr>
                <w:rFonts w:eastAsiaTheme="minorEastAsia"/>
                <w:noProof/>
                <w:lang w:eastAsia="en-GB"/>
              </w:rPr>
              <w:tab/>
            </w:r>
            <w:r w:rsidR="00AF4D38" w:rsidRPr="00153995">
              <w:rPr>
                <w:rStyle w:val="Hyperlink"/>
                <w:rFonts w:ascii="Times New Roman" w:hAnsi="Times New Roman" w:cs="Times New Roman"/>
                <w:noProof/>
              </w:rPr>
              <w:t>Methodology of the Study</w:t>
            </w:r>
            <w:r w:rsidR="00AF4D38">
              <w:rPr>
                <w:noProof/>
                <w:webHidden/>
              </w:rPr>
              <w:tab/>
            </w:r>
            <w:r w:rsidR="00AF4D38">
              <w:rPr>
                <w:noProof/>
                <w:webHidden/>
              </w:rPr>
              <w:fldChar w:fldCharType="begin"/>
            </w:r>
            <w:r w:rsidR="00AF4D38">
              <w:rPr>
                <w:noProof/>
                <w:webHidden/>
              </w:rPr>
              <w:instrText xml:space="preserve"> PAGEREF _Toc458687341 \h </w:instrText>
            </w:r>
            <w:r w:rsidR="00AF4D38">
              <w:rPr>
                <w:noProof/>
                <w:webHidden/>
              </w:rPr>
            </w:r>
            <w:r w:rsidR="00AF4D38">
              <w:rPr>
                <w:noProof/>
                <w:webHidden/>
              </w:rPr>
              <w:fldChar w:fldCharType="separate"/>
            </w:r>
            <w:r w:rsidR="00AF4D38">
              <w:rPr>
                <w:noProof/>
                <w:webHidden/>
              </w:rPr>
              <w:t>11</w:t>
            </w:r>
            <w:r w:rsidR="00AF4D38">
              <w:rPr>
                <w:noProof/>
                <w:webHidden/>
              </w:rPr>
              <w:fldChar w:fldCharType="end"/>
            </w:r>
          </w:hyperlink>
        </w:p>
        <w:p w14:paraId="2F9B2381" w14:textId="77777777" w:rsidR="00AF4D38" w:rsidRDefault="0032666D">
          <w:pPr>
            <w:pStyle w:val="TOC3"/>
            <w:tabs>
              <w:tab w:val="left" w:pos="1320"/>
              <w:tab w:val="right" w:leader="dot" w:pos="9016"/>
            </w:tabs>
            <w:rPr>
              <w:rFonts w:eastAsiaTheme="minorEastAsia"/>
              <w:noProof/>
              <w:lang w:eastAsia="en-GB"/>
            </w:rPr>
          </w:pPr>
          <w:hyperlink w:anchor="_Toc458687342" w:history="1">
            <w:r w:rsidR="00AF4D38" w:rsidRPr="00153995">
              <w:rPr>
                <w:rStyle w:val="Hyperlink"/>
                <w:rFonts w:ascii="Times New Roman" w:hAnsi="Times New Roman" w:cs="Times New Roman"/>
                <w:noProof/>
              </w:rPr>
              <w:t>1.4.1</w:t>
            </w:r>
            <w:r w:rsidR="00AF4D38">
              <w:rPr>
                <w:rFonts w:eastAsiaTheme="minorEastAsia"/>
                <w:noProof/>
                <w:lang w:eastAsia="en-GB"/>
              </w:rPr>
              <w:tab/>
            </w:r>
            <w:r w:rsidR="00AF4D38" w:rsidRPr="00153995">
              <w:rPr>
                <w:rStyle w:val="Hyperlink"/>
                <w:rFonts w:ascii="Times New Roman" w:hAnsi="Times New Roman" w:cs="Times New Roman"/>
                <w:noProof/>
              </w:rPr>
              <w:t>Methodological Framework</w:t>
            </w:r>
            <w:r w:rsidR="00AF4D38">
              <w:rPr>
                <w:noProof/>
                <w:webHidden/>
              </w:rPr>
              <w:tab/>
            </w:r>
            <w:r w:rsidR="00AF4D38">
              <w:rPr>
                <w:noProof/>
                <w:webHidden/>
              </w:rPr>
              <w:fldChar w:fldCharType="begin"/>
            </w:r>
            <w:r w:rsidR="00AF4D38">
              <w:rPr>
                <w:noProof/>
                <w:webHidden/>
              </w:rPr>
              <w:instrText xml:space="preserve"> PAGEREF _Toc458687342 \h </w:instrText>
            </w:r>
            <w:r w:rsidR="00AF4D38">
              <w:rPr>
                <w:noProof/>
                <w:webHidden/>
              </w:rPr>
            </w:r>
            <w:r w:rsidR="00AF4D38">
              <w:rPr>
                <w:noProof/>
                <w:webHidden/>
              </w:rPr>
              <w:fldChar w:fldCharType="separate"/>
            </w:r>
            <w:r w:rsidR="00AF4D38">
              <w:rPr>
                <w:noProof/>
                <w:webHidden/>
              </w:rPr>
              <w:t>11</w:t>
            </w:r>
            <w:r w:rsidR="00AF4D38">
              <w:rPr>
                <w:noProof/>
                <w:webHidden/>
              </w:rPr>
              <w:fldChar w:fldCharType="end"/>
            </w:r>
          </w:hyperlink>
        </w:p>
        <w:p w14:paraId="6DADE660" w14:textId="77777777" w:rsidR="00AF4D38" w:rsidRDefault="0032666D">
          <w:pPr>
            <w:pStyle w:val="TOC3"/>
            <w:tabs>
              <w:tab w:val="left" w:pos="1320"/>
              <w:tab w:val="right" w:leader="dot" w:pos="9016"/>
            </w:tabs>
            <w:rPr>
              <w:rFonts w:eastAsiaTheme="minorEastAsia"/>
              <w:noProof/>
              <w:lang w:eastAsia="en-GB"/>
            </w:rPr>
          </w:pPr>
          <w:hyperlink w:anchor="_Toc458687343" w:history="1">
            <w:r w:rsidR="00AF4D38" w:rsidRPr="00153995">
              <w:rPr>
                <w:rStyle w:val="Hyperlink"/>
                <w:rFonts w:ascii="Times New Roman" w:hAnsi="Times New Roman" w:cs="Times New Roman"/>
                <w:noProof/>
              </w:rPr>
              <w:t>1.4.2</w:t>
            </w:r>
            <w:r w:rsidR="00AF4D38">
              <w:rPr>
                <w:rFonts w:eastAsiaTheme="minorEastAsia"/>
                <w:noProof/>
                <w:lang w:eastAsia="en-GB"/>
              </w:rPr>
              <w:tab/>
            </w:r>
            <w:r w:rsidR="00AF4D38" w:rsidRPr="00153995">
              <w:rPr>
                <w:rStyle w:val="Hyperlink"/>
                <w:rFonts w:ascii="Times New Roman" w:hAnsi="Times New Roman" w:cs="Times New Roman"/>
                <w:noProof/>
              </w:rPr>
              <w:t>Main Data Sources and Analysis</w:t>
            </w:r>
            <w:r w:rsidR="00AF4D38">
              <w:rPr>
                <w:noProof/>
                <w:webHidden/>
              </w:rPr>
              <w:tab/>
            </w:r>
            <w:r w:rsidR="00AF4D38">
              <w:rPr>
                <w:noProof/>
                <w:webHidden/>
              </w:rPr>
              <w:fldChar w:fldCharType="begin"/>
            </w:r>
            <w:r w:rsidR="00AF4D38">
              <w:rPr>
                <w:noProof/>
                <w:webHidden/>
              </w:rPr>
              <w:instrText xml:space="preserve"> PAGEREF _Toc458687343 \h </w:instrText>
            </w:r>
            <w:r w:rsidR="00AF4D38">
              <w:rPr>
                <w:noProof/>
                <w:webHidden/>
              </w:rPr>
            </w:r>
            <w:r w:rsidR="00AF4D38">
              <w:rPr>
                <w:noProof/>
                <w:webHidden/>
              </w:rPr>
              <w:fldChar w:fldCharType="separate"/>
            </w:r>
            <w:r w:rsidR="00AF4D38">
              <w:rPr>
                <w:noProof/>
                <w:webHidden/>
              </w:rPr>
              <w:t>13</w:t>
            </w:r>
            <w:r w:rsidR="00AF4D38">
              <w:rPr>
                <w:noProof/>
                <w:webHidden/>
              </w:rPr>
              <w:fldChar w:fldCharType="end"/>
            </w:r>
          </w:hyperlink>
        </w:p>
        <w:p w14:paraId="436BDAE6" w14:textId="77777777" w:rsidR="00AF4D38" w:rsidRDefault="0032666D">
          <w:pPr>
            <w:pStyle w:val="TOC1"/>
            <w:rPr>
              <w:rFonts w:asciiTheme="minorHAnsi" w:eastAsiaTheme="minorEastAsia" w:hAnsiTheme="minorHAnsi" w:cstheme="minorBidi"/>
              <w:b w:val="0"/>
              <w:lang w:eastAsia="en-GB"/>
            </w:rPr>
          </w:pPr>
          <w:hyperlink w:anchor="_Toc458687344" w:history="1">
            <w:r w:rsidR="00AF4D38" w:rsidRPr="00153995">
              <w:rPr>
                <w:rStyle w:val="Hyperlink"/>
              </w:rPr>
              <w:t>2.0: Contextual Factors Influencing Education in Zambia</w:t>
            </w:r>
            <w:r w:rsidR="00AF4D38">
              <w:rPr>
                <w:webHidden/>
              </w:rPr>
              <w:tab/>
            </w:r>
            <w:r w:rsidR="00AF4D38">
              <w:rPr>
                <w:webHidden/>
              </w:rPr>
              <w:fldChar w:fldCharType="begin"/>
            </w:r>
            <w:r w:rsidR="00AF4D38">
              <w:rPr>
                <w:webHidden/>
              </w:rPr>
              <w:instrText xml:space="preserve"> PAGEREF _Toc458687344 \h </w:instrText>
            </w:r>
            <w:r w:rsidR="00AF4D38">
              <w:rPr>
                <w:webHidden/>
              </w:rPr>
            </w:r>
            <w:r w:rsidR="00AF4D38">
              <w:rPr>
                <w:webHidden/>
              </w:rPr>
              <w:fldChar w:fldCharType="separate"/>
            </w:r>
            <w:r w:rsidR="00AF4D38">
              <w:rPr>
                <w:webHidden/>
              </w:rPr>
              <w:t>14</w:t>
            </w:r>
            <w:r w:rsidR="00AF4D38">
              <w:rPr>
                <w:webHidden/>
              </w:rPr>
              <w:fldChar w:fldCharType="end"/>
            </w:r>
          </w:hyperlink>
        </w:p>
        <w:p w14:paraId="1BB9844C" w14:textId="77777777" w:rsidR="00AF4D38" w:rsidRDefault="0032666D">
          <w:pPr>
            <w:pStyle w:val="TOC2"/>
            <w:tabs>
              <w:tab w:val="left" w:pos="880"/>
              <w:tab w:val="right" w:leader="dot" w:pos="9016"/>
            </w:tabs>
            <w:rPr>
              <w:rFonts w:eastAsiaTheme="minorEastAsia"/>
              <w:noProof/>
              <w:lang w:eastAsia="en-GB"/>
            </w:rPr>
          </w:pPr>
          <w:hyperlink w:anchor="_Toc458687345" w:history="1">
            <w:r w:rsidR="00AF4D38" w:rsidRPr="00153995">
              <w:rPr>
                <w:rStyle w:val="Hyperlink"/>
                <w:rFonts w:ascii="Times New Roman" w:hAnsi="Times New Roman" w:cs="Times New Roman"/>
                <w:noProof/>
              </w:rPr>
              <w:t>2.1</w:t>
            </w:r>
            <w:r w:rsidR="00AF4D38">
              <w:rPr>
                <w:rFonts w:eastAsiaTheme="minorEastAsia"/>
                <w:noProof/>
                <w:lang w:eastAsia="en-GB"/>
              </w:rPr>
              <w:tab/>
            </w:r>
            <w:r w:rsidR="00AF4D38" w:rsidRPr="00153995">
              <w:rPr>
                <w:rStyle w:val="Hyperlink"/>
                <w:rFonts w:ascii="Times New Roman" w:hAnsi="Times New Roman" w:cs="Times New Roman"/>
                <w:noProof/>
              </w:rPr>
              <w:t>Population Factors</w:t>
            </w:r>
            <w:r w:rsidR="00AF4D38">
              <w:rPr>
                <w:noProof/>
                <w:webHidden/>
              </w:rPr>
              <w:tab/>
            </w:r>
            <w:r w:rsidR="00AF4D38">
              <w:rPr>
                <w:noProof/>
                <w:webHidden/>
              </w:rPr>
              <w:fldChar w:fldCharType="begin"/>
            </w:r>
            <w:r w:rsidR="00AF4D38">
              <w:rPr>
                <w:noProof/>
                <w:webHidden/>
              </w:rPr>
              <w:instrText xml:space="preserve"> PAGEREF _Toc458687345 \h </w:instrText>
            </w:r>
            <w:r w:rsidR="00AF4D38">
              <w:rPr>
                <w:noProof/>
                <w:webHidden/>
              </w:rPr>
            </w:r>
            <w:r w:rsidR="00AF4D38">
              <w:rPr>
                <w:noProof/>
                <w:webHidden/>
              </w:rPr>
              <w:fldChar w:fldCharType="separate"/>
            </w:r>
            <w:r w:rsidR="00AF4D38">
              <w:rPr>
                <w:noProof/>
                <w:webHidden/>
              </w:rPr>
              <w:t>14</w:t>
            </w:r>
            <w:r w:rsidR="00AF4D38">
              <w:rPr>
                <w:noProof/>
                <w:webHidden/>
              </w:rPr>
              <w:fldChar w:fldCharType="end"/>
            </w:r>
          </w:hyperlink>
        </w:p>
        <w:p w14:paraId="371509D0" w14:textId="77777777" w:rsidR="00AF4D38" w:rsidRDefault="0032666D">
          <w:pPr>
            <w:pStyle w:val="TOC2"/>
            <w:tabs>
              <w:tab w:val="left" w:pos="880"/>
              <w:tab w:val="right" w:leader="dot" w:pos="9016"/>
            </w:tabs>
            <w:rPr>
              <w:rFonts w:eastAsiaTheme="minorEastAsia"/>
              <w:noProof/>
              <w:lang w:eastAsia="en-GB"/>
            </w:rPr>
          </w:pPr>
          <w:hyperlink w:anchor="_Toc458687346" w:history="1">
            <w:r w:rsidR="00AF4D38" w:rsidRPr="00153995">
              <w:rPr>
                <w:rStyle w:val="Hyperlink"/>
                <w:rFonts w:ascii="Times New Roman" w:hAnsi="Times New Roman" w:cs="Times New Roman"/>
                <w:noProof/>
              </w:rPr>
              <w:t>2.2</w:t>
            </w:r>
            <w:r w:rsidR="00AF4D38">
              <w:rPr>
                <w:rFonts w:eastAsiaTheme="minorEastAsia"/>
                <w:noProof/>
                <w:lang w:eastAsia="en-GB"/>
              </w:rPr>
              <w:tab/>
            </w:r>
            <w:r w:rsidR="00AF4D38" w:rsidRPr="00153995">
              <w:rPr>
                <w:rStyle w:val="Hyperlink"/>
                <w:rFonts w:ascii="Times New Roman" w:hAnsi="Times New Roman" w:cs="Times New Roman"/>
                <w:noProof/>
              </w:rPr>
              <w:t>Economic Factors</w:t>
            </w:r>
            <w:r w:rsidR="00AF4D38">
              <w:rPr>
                <w:noProof/>
                <w:webHidden/>
              </w:rPr>
              <w:tab/>
            </w:r>
            <w:r w:rsidR="00AF4D38">
              <w:rPr>
                <w:noProof/>
                <w:webHidden/>
              </w:rPr>
              <w:fldChar w:fldCharType="begin"/>
            </w:r>
            <w:r w:rsidR="00AF4D38">
              <w:rPr>
                <w:noProof/>
                <w:webHidden/>
              </w:rPr>
              <w:instrText xml:space="preserve"> PAGEREF _Toc458687346 \h </w:instrText>
            </w:r>
            <w:r w:rsidR="00AF4D38">
              <w:rPr>
                <w:noProof/>
                <w:webHidden/>
              </w:rPr>
            </w:r>
            <w:r w:rsidR="00AF4D38">
              <w:rPr>
                <w:noProof/>
                <w:webHidden/>
              </w:rPr>
              <w:fldChar w:fldCharType="separate"/>
            </w:r>
            <w:r w:rsidR="00AF4D38">
              <w:rPr>
                <w:noProof/>
                <w:webHidden/>
              </w:rPr>
              <w:t>14</w:t>
            </w:r>
            <w:r w:rsidR="00AF4D38">
              <w:rPr>
                <w:noProof/>
                <w:webHidden/>
              </w:rPr>
              <w:fldChar w:fldCharType="end"/>
            </w:r>
          </w:hyperlink>
        </w:p>
        <w:p w14:paraId="3D263EDD" w14:textId="77777777" w:rsidR="00AF4D38" w:rsidRDefault="0032666D">
          <w:pPr>
            <w:pStyle w:val="TOC2"/>
            <w:tabs>
              <w:tab w:val="left" w:pos="880"/>
              <w:tab w:val="right" w:leader="dot" w:pos="9016"/>
            </w:tabs>
            <w:rPr>
              <w:rFonts w:eastAsiaTheme="minorEastAsia"/>
              <w:noProof/>
              <w:lang w:eastAsia="en-GB"/>
            </w:rPr>
          </w:pPr>
          <w:hyperlink w:anchor="_Toc458687347" w:history="1">
            <w:r w:rsidR="00AF4D38" w:rsidRPr="00153995">
              <w:rPr>
                <w:rStyle w:val="Hyperlink"/>
                <w:rFonts w:ascii="Times New Roman" w:eastAsiaTheme="majorEastAsia" w:hAnsi="Times New Roman" w:cs="Times New Roman"/>
                <w:noProof/>
              </w:rPr>
              <w:t>2.3</w:t>
            </w:r>
            <w:r w:rsidR="00AF4D38">
              <w:rPr>
                <w:rFonts w:eastAsiaTheme="minorEastAsia"/>
                <w:noProof/>
                <w:lang w:eastAsia="en-GB"/>
              </w:rPr>
              <w:tab/>
            </w:r>
            <w:r w:rsidR="00AF4D38" w:rsidRPr="00153995">
              <w:rPr>
                <w:rStyle w:val="Hyperlink"/>
                <w:rFonts w:ascii="Times New Roman" w:eastAsiaTheme="majorEastAsia" w:hAnsi="Times New Roman" w:cs="Times New Roman"/>
                <w:noProof/>
              </w:rPr>
              <w:t>Social Factors</w:t>
            </w:r>
            <w:r w:rsidR="00AF4D38">
              <w:rPr>
                <w:noProof/>
                <w:webHidden/>
              </w:rPr>
              <w:tab/>
            </w:r>
            <w:r w:rsidR="00AF4D38">
              <w:rPr>
                <w:noProof/>
                <w:webHidden/>
              </w:rPr>
              <w:fldChar w:fldCharType="begin"/>
            </w:r>
            <w:r w:rsidR="00AF4D38">
              <w:rPr>
                <w:noProof/>
                <w:webHidden/>
              </w:rPr>
              <w:instrText xml:space="preserve"> PAGEREF _Toc458687347 \h </w:instrText>
            </w:r>
            <w:r w:rsidR="00AF4D38">
              <w:rPr>
                <w:noProof/>
                <w:webHidden/>
              </w:rPr>
            </w:r>
            <w:r w:rsidR="00AF4D38">
              <w:rPr>
                <w:noProof/>
                <w:webHidden/>
              </w:rPr>
              <w:fldChar w:fldCharType="separate"/>
            </w:r>
            <w:r w:rsidR="00AF4D38">
              <w:rPr>
                <w:noProof/>
                <w:webHidden/>
              </w:rPr>
              <w:t>18</w:t>
            </w:r>
            <w:r w:rsidR="00AF4D38">
              <w:rPr>
                <w:noProof/>
                <w:webHidden/>
              </w:rPr>
              <w:fldChar w:fldCharType="end"/>
            </w:r>
          </w:hyperlink>
        </w:p>
        <w:p w14:paraId="7F467701" w14:textId="77777777" w:rsidR="00AF4D38" w:rsidRDefault="0032666D">
          <w:pPr>
            <w:pStyle w:val="TOC1"/>
            <w:rPr>
              <w:rFonts w:asciiTheme="minorHAnsi" w:eastAsiaTheme="minorEastAsia" w:hAnsiTheme="minorHAnsi" w:cstheme="minorBidi"/>
              <w:b w:val="0"/>
              <w:lang w:eastAsia="en-GB"/>
            </w:rPr>
          </w:pPr>
          <w:hyperlink w:anchor="_Toc458687348" w:history="1">
            <w:r w:rsidR="00AF4D38" w:rsidRPr="00153995">
              <w:rPr>
                <w:rStyle w:val="Hyperlink"/>
              </w:rPr>
              <w:t>3.0: Understanding Gaps in the Situation of Education in Zambia</w:t>
            </w:r>
            <w:r w:rsidR="00AF4D38">
              <w:rPr>
                <w:webHidden/>
              </w:rPr>
              <w:tab/>
            </w:r>
            <w:r w:rsidR="00AF4D38">
              <w:rPr>
                <w:webHidden/>
              </w:rPr>
              <w:fldChar w:fldCharType="begin"/>
            </w:r>
            <w:r w:rsidR="00AF4D38">
              <w:rPr>
                <w:webHidden/>
              </w:rPr>
              <w:instrText xml:space="preserve"> PAGEREF _Toc458687348 \h </w:instrText>
            </w:r>
            <w:r w:rsidR="00AF4D38">
              <w:rPr>
                <w:webHidden/>
              </w:rPr>
            </w:r>
            <w:r w:rsidR="00AF4D38">
              <w:rPr>
                <w:webHidden/>
              </w:rPr>
              <w:fldChar w:fldCharType="separate"/>
            </w:r>
            <w:r w:rsidR="00AF4D38">
              <w:rPr>
                <w:webHidden/>
              </w:rPr>
              <w:t>22</w:t>
            </w:r>
            <w:r w:rsidR="00AF4D38">
              <w:rPr>
                <w:webHidden/>
              </w:rPr>
              <w:fldChar w:fldCharType="end"/>
            </w:r>
          </w:hyperlink>
        </w:p>
        <w:p w14:paraId="4D504F95" w14:textId="77777777" w:rsidR="00AF4D38" w:rsidRDefault="0032666D">
          <w:pPr>
            <w:pStyle w:val="TOC2"/>
            <w:tabs>
              <w:tab w:val="left" w:pos="880"/>
              <w:tab w:val="right" w:leader="dot" w:pos="9016"/>
            </w:tabs>
            <w:rPr>
              <w:rFonts w:eastAsiaTheme="minorEastAsia"/>
              <w:noProof/>
              <w:lang w:eastAsia="en-GB"/>
            </w:rPr>
          </w:pPr>
          <w:hyperlink w:anchor="_Toc458687349" w:history="1">
            <w:r w:rsidR="00AF4D38" w:rsidRPr="00153995">
              <w:rPr>
                <w:rStyle w:val="Hyperlink"/>
                <w:rFonts w:ascii="Times New Roman" w:hAnsi="Times New Roman" w:cs="Times New Roman"/>
                <w:noProof/>
              </w:rPr>
              <w:t>3.1</w:t>
            </w:r>
            <w:r w:rsidR="00AF4D38">
              <w:rPr>
                <w:rFonts w:eastAsiaTheme="minorEastAsia"/>
                <w:noProof/>
                <w:lang w:eastAsia="en-GB"/>
              </w:rPr>
              <w:tab/>
            </w:r>
            <w:r w:rsidR="00AF4D38" w:rsidRPr="00153995">
              <w:rPr>
                <w:rStyle w:val="Hyperlink"/>
                <w:rFonts w:ascii="Times New Roman" w:hAnsi="Times New Roman" w:cs="Times New Roman"/>
                <w:noProof/>
              </w:rPr>
              <w:t>Policy Initiatives and Institutional Arrangements</w:t>
            </w:r>
            <w:r w:rsidR="00AF4D38">
              <w:rPr>
                <w:noProof/>
                <w:webHidden/>
              </w:rPr>
              <w:tab/>
            </w:r>
            <w:r w:rsidR="00AF4D38">
              <w:rPr>
                <w:noProof/>
                <w:webHidden/>
              </w:rPr>
              <w:fldChar w:fldCharType="begin"/>
            </w:r>
            <w:r w:rsidR="00AF4D38">
              <w:rPr>
                <w:noProof/>
                <w:webHidden/>
              </w:rPr>
              <w:instrText xml:space="preserve"> PAGEREF _Toc458687349 \h </w:instrText>
            </w:r>
            <w:r w:rsidR="00AF4D38">
              <w:rPr>
                <w:noProof/>
                <w:webHidden/>
              </w:rPr>
            </w:r>
            <w:r w:rsidR="00AF4D38">
              <w:rPr>
                <w:noProof/>
                <w:webHidden/>
              </w:rPr>
              <w:fldChar w:fldCharType="separate"/>
            </w:r>
            <w:r w:rsidR="00AF4D38">
              <w:rPr>
                <w:noProof/>
                <w:webHidden/>
              </w:rPr>
              <w:t>22</w:t>
            </w:r>
            <w:r w:rsidR="00AF4D38">
              <w:rPr>
                <w:noProof/>
                <w:webHidden/>
              </w:rPr>
              <w:fldChar w:fldCharType="end"/>
            </w:r>
          </w:hyperlink>
        </w:p>
        <w:p w14:paraId="1D09E877" w14:textId="77777777" w:rsidR="00AF4D38" w:rsidRDefault="0032666D">
          <w:pPr>
            <w:pStyle w:val="TOC3"/>
            <w:tabs>
              <w:tab w:val="left" w:pos="1320"/>
              <w:tab w:val="right" w:leader="dot" w:pos="9016"/>
            </w:tabs>
            <w:rPr>
              <w:rFonts w:eastAsiaTheme="minorEastAsia"/>
              <w:noProof/>
              <w:lang w:eastAsia="en-GB"/>
            </w:rPr>
          </w:pPr>
          <w:hyperlink w:anchor="_Toc458687350" w:history="1">
            <w:r w:rsidR="00AF4D38" w:rsidRPr="00153995">
              <w:rPr>
                <w:rStyle w:val="Hyperlink"/>
                <w:rFonts w:ascii="Times New Roman" w:hAnsi="Times New Roman" w:cs="Times New Roman"/>
                <w:noProof/>
              </w:rPr>
              <w:t>3.1.1</w:t>
            </w:r>
            <w:r w:rsidR="00AF4D38">
              <w:rPr>
                <w:rFonts w:eastAsiaTheme="minorEastAsia"/>
                <w:noProof/>
                <w:lang w:eastAsia="en-GB"/>
              </w:rPr>
              <w:tab/>
            </w:r>
            <w:r w:rsidR="00AF4D38" w:rsidRPr="00153995">
              <w:rPr>
                <w:rStyle w:val="Hyperlink"/>
                <w:rFonts w:ascii="Times New Roman" w:hAnsi="Times New Roman" w:cs="Times New Roman"/>
                <w:noProof/>
              </w:rPr>
              <w:t>Appraisal of Trends in Policy Initiatives and Priority Actions</w:t>
            </w:r>
            <w:r w:rsidR="00AF4D38">
              <w:rPr>
                <w:noProof/>
                <w:webHidden/>
              </w:rPr>
              <w:tab/>
            </w:r>
            <w:r w:rsidR="00AF4D38">
              <w:rPr>
                <w:noProof/>
                <w:webHidden/>
              </w:rPr>
              <w:fldChar w:fldCharType="begin"/>
            </w:r>
            <w:r w:rsidR="00AF4D38">
              <w:rPr>
                <w:noProof/>
                <w:webHidden/>
              </w:rPr>
              <w:instrText xml:space="preserve"> PAGEREF _Toc458687350 \h </w:instrText>
            </w:r>
            <w:r w:rsidR="00AF4D38">
              <w:rPr>
                <w:noProof/>
                <w:webHidden/>
              </w:rPr>
            </w:r>
            <w:r w:rsidR="00AF4D38">
              <w:rPr>
                <w:noProof/>
                <w:webHidden/>
              </w:rPr>
              <w:fldChar w:fldCharType="separate"/>
            </w:r>
            <w:r w:rsidR="00AF4D38">
              <w:rPr>
                <w:noProof/>
                <w:webHidden/>
              </w:rPr>
              <w:t>22</w:t>
            </w:r>
            <w:r w:rsidR="00AF4D38">
              <w:rPr>
                <w:noProof/>
                <w:webHidden/>
              </w:rPr>
              <w:fldChar w:fldCharType="end"/>
            </w:r>
          </w:hyperlink>
        </w:p>
        <w:p w14:paraId="2027CED6" w14:textId="77777777" w:rsidR="00AF4D38" w:rsidRDefault="0032666D">
          <w:pPr>
            <w:pStyle w:val="TOC3"/>
            <w:tabs>
              <w:tab w:val="left" w:pos="1320"/>
              <w:tab w:val="right" w:leader="dot" w:pos="9016"/>
            </w:tabs>
            <w:rPr>
              <w:rFonts w:eastAsiaTheme="minorEastAsia"/>
              <w:noProof/>
              <w:lang w:eastAsia="en-GB"/>
            </w:rPr>
          </w:pPr>
          <w:hyperlink w:anchor="_Toc458687351" w:history="1">
            <w:r w:rsidR="00AF4D38" w:rsidRPr="00153995">
              <w:rPr>
                <w:rStyle w:val="Hyperlink"/>
                <w:rFonts w:ascii="Times New Roman" w:hAnsi="Times New Roman" w:cs="Times New Roman"/>
                <w:noProof/>
              </w:rPr>
              <w:t>3.1.2</w:t>
            </w:r>
            <w:r w:rsidR="00AF4D38">
              <w:rPr>
                <w:rFonts w:eastAsiaTheme="minorEastAsia"/>
                <w:noProof/>
                <w:lang w:eastAsia="en-GB"/>
              </w:rPr>
              <w:tab/>
            </w:r>
            <w:r w:rsidR="00AF4D38" w:rsidRPr="00153995">
              <w:rPr>
                <w:rStyle w:val="Hyperlink"/>
                <w:rFonts w:ascii="Times New Roman" w:hAnsi="Times New Roman" w:cs="Times New Roman"/>
                <w:noProof/>
              </w:rPr>
              <w:t>Appraisal of Trends in Institutional Arrangements</w:t>
            </w:r>
            <w:r w:rsidR="00AF4D38">
              <w:rPr>
                <w:noProof/>
                <w:webHidden/>
              </w:rPr>
              <w:tab/>
            </w:r>
            <w:r w:rsidR="00AF4D38">
              <w:rPr>
                <w:noProof/>
                <w:webHidden/>
              </w:rPr>
              <w:fldChar w:fldCharType="begin"/>
            </w:r>
            <w:r w:rsidR="00AF4D38">
              <w:rPr>
                <w:noProof/>
                <w:webHidden/>
              </w:rPr>
              <w:instrText xml:space="preserve"> PAGEREF _Toc458687351 \h </w:instrText>
            </w:r>
            <w:r w:rsidR="00AF4D38">
              <w:rPr>
                <w:noProof/>
                <w:webHidden/>
              </w:rPr>
            </w:r>
            <w:r w:rsidR="00AF4D38">
              <w:rPr>
                <w:noProof/>
                <w:webHidden/>
              </w:rPr>
              <w:fldChar w:fldCharType="separate"/>
            </w:r>
            <w:r w:rsidR="00AF4D38">
              <w:rPr>
                <w:noProof/>
                <w:webHidden/>
              </w:rPr>
              <w:t>25</w:t>
            </w:r>
            <w:r w:rsidR="00AF4D38">
              <w:rPr>
                <w:noProof/>
                <w:webHidden/>
              </w:rPr>
              <w:fldChar w:fldCharType="end"/>
            </w:r>
          </w:hyperlink>
        </w:p>
        <w:p w14:paraId="3236A4A9" w14:textId="77777777" w:rsidR="00AF4D38" w:rsidRDefault="0032666D">
          <w:pPr>
            <w:pStyle w:val="TOC2"/>
            <w:tabs>
              <w:tab w:val="left" w:pos="880"/>
              <w:tab w:val="right" w:leader="dot" w:pos="9016"/>
            </w:tabs>
            <w:rPr>
              <w:rFonts w:eastAsiaTheme="minorEastAsia"/>
              <w:noProof/>
              <w:lang w:eastAsia="en-GB"/>
            </w:rPr>
          </w:pPr>
          <w:hyperlink w:anchor="_Toc458687352" w:history="1">
            <w:r w:rsidR="00AF4D38" w:rsidRPr="00153995">
              <w:rPr>
                <w:rStyle w:val="Hyperlink"/>
                <w:rFonts w:ascii="Times New Roman" w:hAnsi="Times New Roman" w:cs="Times New Roman"/>
                <w:noProof/>
              </w:rPr>
              <w:t>3.2</w:t>
            </w:r>
            <w:r w:rsidR="00AF4D38">
              <w:rPr>
                <w:rFonts w:eastAsiaTheme="minorEastAsia"/>
                <w:noProof/>
                <w:lang w:eastAsia="en-GB"/>
              </w:rPr>
              <w:tab/>
            </w:r>
            <w:r w:rsidR="00AF4D38" w:rsidRPr="00153995">
              <w:rPr>
                <w:rStyle w:val="Hyperlink"/>
                <w:rFonts w:ascii="Times New Roman" w:hAnsi="Times New Roman" w:cs="Times New Roman"/>
                <w:noProof/>
              </w:rPr>
              <w:t>Trends and Patterns Towards Full Enrolment and Retention</w:t>
            </w:r>
            <w:r w:rsidR="00AF4D38">
              <w:rPr>
                <w:noProof/>
                <w:webHidden/>
              </w:rPr>
              <w:tab/>
            </w:r>
            <w:r w:rsidR="00AF4D38">
              <w:rPr>
                <w:noProof/>
                <w:webHidden/>
              </w:rPr>
              <w:fldChar w:fldCharType="begin"/>
            </w:r>
            <w:r w:rsidR="00AF4D38">
              <w:rPr>
                <w:noProof/>
                <w:webHidden/>
              </w:rPr>
              <w:instrText xml:space="preserve"> PAGEREF _Toc458687352 \h </w:instrText>
            </w:r>
            <w:r w:rsidR="00AF4D38">
              <w:rPr>
                <w:noProof/>
                <w:webHidden/>
              </w:rPr>
            </w:r>
            <w:r w:rsidR="00AF4D38">
              <w:rPr>
                <w:noProof/>
                <w:webHidden/>
              </w:rPr>
              <w:fldChar w:fldCharType="separate"/>
            </w:r>
            <w:r w:rsidR="00AF4D38">
              <w:rPr>
                <w:noProof/>
                <w:webHidden/>
              </w:rPr>
              <w:t>26</w:t>
            </w:r>
            <w:r w:rsidR="00AF4D38">
              <w:rPr>
                <w:noProof/>
                <w:webHidden/>
              </w:rPr>
              <w:fldChar w:fldCharType="end"/>
            </w:r>
          </w:hyperlink>
        </w:p>
        <w:p w14:paraId="7557B4B8" w14:textId="77777777" w:rsidR="00AF4D38" w:rsidRDefault="0032666D">
          <w:pPr>
            <w:pStyle w:val="TOC3"/>
            <w:tabs>
              <w:tab w:val="left" w:pos="1320"/>
              <w:tab w:val="right" w:leader="dot" w:pos="9016"/>
            </w:tabs>
            <w:rPr>
              <w:rFonts w:eastAsiaTheme="minorEastAsia"/>
              <w:noProof/>
              <w:lang w:eastAsia="en-GB"/>
            </w:rPr>
          </w:pPr>
          <w:hyperlink w:anchor="_Toc458687353" w:history="1">
            <w:r w:rsidR="00AF4D38" w:rsidRPr="00153995">
              <w:rPr>
                <w:rStyle w:val="Hyperlink"/>
                <w:rFonts w:ascii="Times New Roman" w:hAnsi="Times New Roman" w:cs="Times New Roman"/>
                <w:noProof/>
              </w:rPr>
              <w:t>3.2.1</w:t>
            </w:r>
            <w:r w:rsidR="00AF4D38">
              <w:rPr>
                <w:rFonts w:eastAsiaTheme="minorEastAsia"/>
                <w:noProof/>
                <w:lang w:eastAsia="en-GB"/>
              </w:rPr>
              <w:tab/>
            </w:r>
            <w:r w:rsidR="00AF4D38" w:rsidRPr="00153995">
              <w:rPr>
                <w:rStyle w:val="Hyperlink"/>
                <w:rFonts w:ascii="Times New Roman" w:hAnsi="Times New Roman" w:cs="Times New Roman"/>
                <w:noProof/>
              </w:rPr>
              <w:t xml:space="preserve">Early Childhood Care Development and Education, </w:t>
            </w:r>
            <w:r w:rsidR="00AF4D38" w:rsidRPr="00153995">
              <w:rPr>
                <w:rStyle w:val="Hyperlink"/>
                <w:rFonts w:ascii="Times New Roman" w:hAnsi="Times New Roman" w:cs="Times New Roman"/>
                <w:noProof/>
                <w:lang w:val="en-US" w:eastAsia="en-GB"/>
              </w:rPr>
              <w:t>ECCDE</w:t>
            </w:r>
            <w:r w:rsidR="00AF4D38">
              <w:rPr>
                <w:noProof/>
                <w:webHidden/>
              </w:rPr>
              <w:tab/>
            </w:r>
            <w:r w:rsidR="00AF4D38">
              <w:rPr>
                <w:noProof/>
                <w:webHidden/>
              </w:rPr>
              <w:fldChar w:fldCharType="begin"/>
            </w:r>
            <w:r w:rsidR="00AF4D38">
              <w:rPr>
                <w:noProof/>
                <w:webHidden/>
              </w:rPr>
              <w:instrText xml:space="preserve"> PAGEREF _Toc458687353 \h </w:instrText>
            </w:r>
            <w:r w:rsidR="00AF4D38">
              <w:rPr>
                <w:noProof/>
                <w:webHidden/>
              </w:rPr>
            </w:r>
            <w:r w:rsidR="00AF4D38">
              <w:rPr>
                <w:noProof/>
                <w:webHidden/>
              </w:rPr>
              <w:fldChar w:fldCharType="separate"/>
            </w:r>
            <w:r w:rsidR="00AF4D38">
              <w:rPr>
                <w:noProof/>
                <w:webHidden/>
              </w:rPr>
              <w:t>26</w:t>
            </w:r>
            <w:r w:rsidR="00AF4D38">
              <w:rPr>
                <w:noProof/>
                <w:webHidden/>
              </w:rPr>
              <w:fldChar w:fldCharType="end"/>
            </w:r>
          </w:hyperlink>
        </w:p>
        <w:p w14:paraId="40BCE211" w14:textId="77777777" w:rsidR="00AF4D38" w:rsidRDefault="0032666D">
          <w:pPr>
            <w:pStyle w:val="TOC3"/>
            <w:tabs>
              <w:tab w:val="left" w:pos="1320"/>
              <w:tab w:val="right" w:leader="dot" w:pos="9016"/>
            </w:tabs>
            <w:rPr>
              <w:rFonts w:eastAsiaTheme="minorEastAsia"/>
              <w:noProof/>
              <w:lang w:eastAsia="en-GB"/>
            </w:rPr>
          </w:pPr>
          <w:hyperlink w:anchor="_Toc458687354" w:history="1">
            <w:r w:rsidR="00AF4D38" w:rsidRPr="00153995">
              <w:rPr>
                <w:rStyle w:val="Hyperlink"/>
                <w:rFonts w:ascii="Times New Roman" w:hAnsi="Times New Roman" w:cs="Times New Roman"/>
                <w:noProof/>
                <w:lang w:val="en-US"/>
              </w:rPr>
              <w:t>3.2.2</w:t>
            </w:r>
            <w:r w:rsidR="00AF4D38">
              <w:rPr>
                <w:rFonts w:eastAsiaTheme="minorEastAsia"/>
                <w:noProof/>
                <w:lang w:eastAsia="en-GB"/>
              </w:rPr>
              <w:tab/>
            </w:r>
            <w:r w:rsidR="00AF4D38" w:rsidRPr="00153995">
              <w:rPr>
                <w:rStyle w:val="Hyperlink"/>
                <w:rFonts w:ascii="Times New Roman" w:hAnsi="Times New Roman" w:cs="Times New Roman"/>
                <w:noProof/>
                <w:lang w:val="en-US"/>
              </w:rPr>
              <w:t>Achieving Universal Primary Education</w:t>
            </w:r>
            <w:r w:rsidR="00AF4D38">
              <w:rPr>
                <w:noProof/>
                <w:webHidden/>
              </w:rPr>
              <w:tab/>
            </w:r>
            <w:r w:rsidR="00AF4D38">
              <w:rPr>
                <w:noProof/>
                <w:webHidden/>
              </w:rPr>
              <w:fldChar w:fldCharType="begin"/>
            </w:r>
            <w:r w:rsidR="00AF4D38">
              <w:rPr>
                <w:noProof/>
                <w:webHidden/>
              </w:rPr>
              <w:instrText xml:space="preserve"> PAGEREF _Toc458687354 \h </w:instrText>
            </w:r>
            <w:r w:rsidR="00AF4D38">
              <w:rPr>
                <w:noProof/>
                <w:webHidden/>
              </w:rPr>
            </w:r>
            <w:r w:rsidR="00AF4D38">
              <w:rPr>
                <w:noProof/>
                <w:webHidden/>
              </w:rPr>
              <w:fldChar w:fldCharType="separate"/>
            </w:r>
            <w:r w:rsidR="00AF4D38">
              <w:rPr>
                <w:noProof/>
                <w:webHidden/>
              </w:rPr>
              <w:t>28</w:t>
            </w:r>
            <w:r w:rsidR="00AF4D38">
              <w:rPr>
                <w:noProof/>
                <w:webHidden/>
              </w:rPr>
              <w:fldChar w:fldCharType="end"/>
            </w:r>
          </w:hyperlink>
        </w:p>
        <w:p w14:paraId="29397D52" w14:textId="77777777" w:rsidR="00AF4D38" w:rsidRDefault="0032666D">
          <w:pPr>
            <w:pStyle w:val="TOC3"/>
            <w:tabs>
              <w:tab w:val="left" w:pos="1320"/>
              <w:tab w:val="right" w:leader="dot" w:pos="9016"/>
            </w:tabs>
            <w:rPr>
              <w:rFonts w:eastAsiaTheme="minorEastAsia"/>
              <w:noProof/>
              <w:lang w:eastAsia="en-GB"/>
            </w:rPr>
          </w:pPr>
          <w:hyperlink w:anchor="_Toc458687355" w:history="1">
            <w:r w:rsidR="00AF4D38" w:rsidRPr="00153995">
              <w:rPr>
                <w:rStyle w:val="Hyperlink"/>
                <w:rFonts w:ascii="Times New Roman" w:hAnsi="Times New Roman" w:cs="Times New Roman"/>
                <w:noProof/>
                <w:lang w:val="en-US" w:eastAsia="en-GB"/>
              </w:rPr>
              <w:t>3.2.3</w:t>
            </w:r>
            <w:r w:rsidR="00AF4D38">
              <w:rPr>
                <w:rFonts w:eastAsiaTheme="minorEastAsia"/>
                <w:noProof/>
                <w:lang w:eastAsia="en-GB"/>
              </w:rPr>
              <w:tab/>
            </w:r>
            <w:r w:rsidR="00AF4D38" w:rsidRPr="00153995">
              <w:rPr>
                <w:rStyle w:val="Hyperlink"/>
                <w:rFonts w:ascii="Times New Roman" w:hAnsi="Times New Roman" w:cs="Times New Roman"/>
                <w:noProof/>
                <w:lang w:val="en-US" w:eastAsia="en-GB"/>
              </w:rPr>
              <w:t>Equitable Access to Appropriate Learning and Life Skills of all Young People</w:t>
            </w:r>
            <w:r w:rsidR="00AF4D38">
              <w:rPr>
                <w:noProof/>
                <w:webHidden/>
              </w:rPr>
              <w:tab/>
            </w:r>
            <w:r w:rsidR="00AF4D38">
              <w:rPr>
                <w:noProof/>
                <w:webHidden/>
              </w:rPr>
              <w:fldChar w:fldCharType="begin"/>
            </w:r>
            <w:r w:rsidR="00AF4D38">
              <w:rPr>
                <w:noProof/>
                <w:webHidden/>
              </w:rPr>
              <w:instrText xml:space="preserve"> PAGEREF _Toc458687355 \h </w:instrText>
            </w:r>
            <w:r w:rsidR="00AF4D38">
              <w:rPr>
                <w:noProof/>
                <w:webHidden/>
              </w:rPr>
            </w:r>
            <w:r w:rsidR="00AF4D38">
              <w:rPr>
                <w:noProof/>
                <w:webHidden/>
              </w:rPr>
              <w:fldChar w:fldCharType="separate"/>
            </w:r>
            <w:r w:rsidR="00AF4D38">
              <w:rPr>
                <w:noProof/>
                <w:webHidden/>
              </w:rPr>
              <w:t>35</w:t>
            </w:r>
            <w:r w:rsidR="00AF4D38">
              <w:rPr>
                <w:noProof/>
                <w:webHidden/>
              </w:rPr>
              <w:fldChar w:fldCharType="end"/>
            </w:r>
          </w:hyperlink>
        </w:p>
        <w:p w14:paraId="1D896FC8" w14:textId="77777777" w:rsidR="00AF4D38" w:rsidRDefault="0032666D">
          <w:pPr>
            <w:pStyle w:val="TOC3"/>
            <w:tabs>
              <w:tab w:val="left" w:pos="1320"/>
              <w:tab w:val="right" w:leader="dot" w:pos="9016"/>
            </w:tabs>
            <w:rPr>
              <w:rFonts w:eastAsiaTheme="minorEastAsia"/>
              <w:noProof/>
              <w:lang w:eastAsia="en-GB"/>
            </w:rPr>
          </w:pPr>
          <w:hyperlink w:anchor="_Toc458687356" w:history="1">
            <w:r w:rsidR="00AF4D38" w:rsidRPr="00153995">
              <w:rPr>
                <w:rStyle w:val="Hyperlink"/>
                <w:rFonts w:ascii="Times New Roman" w:hAnsi="Times New Roman" w:cs="Times New Roman"/>
                <w:noProof/>
                <w:lang w:val="en-US" w:eastAsia="en-GB"/>
              </w:rPr>
              <w:t>3.2.4</w:t>
            </w:r>
            <w:r w:rsidR="00AF4D38">
              <w:rPr>
                <w:rFonts w:eastAsiaTheme="minorEastAsia"/>
                <w:noProof/>
                <w:lang w:eastAsia="en-GB"/>
              </w:rPr>
              <w:tab/>
            </w:r>
            <w:r w:rsidR="00AF4D38" w:rsidRPr="00153995">
              <w:rPr>
                <w:rStyle w:val="Hyperlink"/>
                <w:rFonts w:ascii="Times New Roman" w:hAnsi="Times New Roman" w:cs="Times New Roman"/>
                <w:noProof/>
                <w:lang w:val="en-US" w:eastAsia="en-GB"/>
              </w:rPr>
              <w:t xml:space="preserve"> Achieving 50 Percent Improvement in Adult Literacy by 2015</w:t>
            </w:r>
            <w:r w:rsidR="00AF4D38">
              <w:rPr>
                <w:noProof/>
                <w:webHidden/>
              </w:rPr>
              <w:tab/>
            </w:r>
            <w:r w:rsidR="00AF4D38">
              <w:rPr>
                <w:noProof/>
                <w:webHidden/>
              </w:rPr>
              <w:fldChar w:fldCharType="begin"/>
            </w:r>
            <w:r w:rsidR="00AF4D38">
              <w:rPr>
                <w:noProof/>
                <w:webHidden/>
              </w:rPr>
              <w:instrText xml:space="preserve"> PAGEREF _Toc458687356 \h </w:instrText>
            </w:r>
            <w:r w:rsidR="00AF4D38">
              <w:rPr>
                <w:noProof/>
                <w:webHidden/>
              </w:rPr>
            </w:r>
            <w:r w:rsidR="00AF4D38">
              <w:rPr>
                <w:noProof/>
                <w:webHidden/>
              </w:rPr>
              <w:fldChar w:fldCharType="separate"/>
            </w:r>
            <w:r w:rsidR="00AF4D38">
              <w:rPr>
                <w:noProof/>
                <w:webHidden/>
              </w:rPr>
              <w:t>37</w:t>
            </w:r>
            <w:r w:rsidR="00AF4D38">
              <w:rPr>
                <w:noProof/>
                <w:webHidden/>
              </w:rPr>
              <w:fldChar w:fldCharType="end"/>
            </w:r>
          </w:hyperlink>
        </w:p>
        <w:p w14:paraId="3C921FF3" w14:textId="77777777" w:rsidR="00AF4D38" w:rsidRDefault="0032666D">
          <w:pPr>
            <w:pStyle w:val="TOC3"/>
            <w:tabs>
              <w:tab w:val="left" w:pos="1320"/>
              <w:tab w:val="right" w:leader="dot" w:pos="9016"/>
            </w:tabs>
            <w:rPr>
              <w:rFonts w:eastAsiaTheme="minorEastAsia"/>
              <w:noProof/>
              <w:lang w:eastAsia="en-GB"/>
            </w:rPr>
          </w:pPr>
          <w:hyperlink w:anchor="_Toc458687357" w:history="1">
            <w:r w:rsidR="00AF4D38" w:rsidRPr="00153995">
              <w:rPr>
                <w:rStyle w:val="Hyperlink"/>
                <w:rFonts w:ascii="Times New Roman" w:hAnsi="Times New Roman" w:cs="Times New Roman"/>
                <w:noProof/>
                <w:lang w:val="en-US" w:eastAsia="en-GB"/>
              </w:rPr>
              <w:t>3.2.5</w:t>
            </w:r>
            <w:r w:rsidR="00AF4D38">
              <w:rPr>
                <w:rFonts w:eastAsiaTheme="minorEastAsia"/>
                <w:noProof/>
                <w:lang w:eastAsia="en-GB"/>
              </w:rPr>
              <w:tab/>
            </w:r>
            <w:r w:rsidR="00AF4D38" w:rsidRPr="00153995">
              <w:rPr>
                <w:rStyle w:val="Hyperlink"/>
                <w:rFonts w:ascii="Times New Roman" w:hAnsi="Times New Roman" w:cs="Times New Roman"/>
                <w:noProof/>
                <w:lang w:val="en-US" w:eastAsia="en-GB"/>
              </w:rPr>
              <w:t>Gender Disparity in Primary and Secondary Schools</w:t>
            </w:r>
            <w:r w:rsidR="00AF4D38">
              <w:rPr>
                <w:noProof/>
                <w:webHidden/>
              </w:rPr>
              <w:tab/>
            </w:r>
            <w:r w:rsidR="00AF4D38">
              <w:rPr>
                <w:noProof/>
                <w:webHidden/>
              </w:rPr>
              <w:fldChar w:fldCharType="begin"/>
            </w:r>
            <w:r w:rsidR="00AF4D38">
              <w:rPr>
                <w:noProof/>
                <w:webHidden/>
              </w:rPr>
              <w:instrText xml:space="preserve"> PAGEREF _Toc458687357 \h </w:instrText>
            </w:r>
            <w:r w:rsidR="00AF4D38">
              <w:rPr>
                <w:noProof/>
                <w:webHidden/>
              </w:rPr>
            </w:r>
            <w:r w:rsidR="00AF4D38">
              <w:rPr>
                <w:noProof/>
                <w:webHidden/>
              </w:rPr>
              <w:fldChar w:fldCharType="separate"/>
            </w:r>
            <w:r w:rsidR="00AF4D38">
              <w:rPr>
                <w:noProof/>
                <w:webHidden/>
              </w:rPr>
              <w:t>37</w:t>
            </w:r>
            <w:r w:rsidR="00AF4D38">
              <w:rPr>
                <w:noProof/>
                <w:webHidden/>
              </w:rPr>
              <w:fldChar w:fldCharType="end"/>
            </w:r>
          </w:hyperlink>
        </w:p>
        <w:p w14:paraId="4CE09461" w14:textId="77777777" w:rsidR="00AF4D38" w:rsidRDefault="0032666D">
          <w:pPr>
            <w:pStyle w:val="TOC3"/>
            <w:tabs>
              <w:tab w:val="left" w:pos="1320"/>
              <w:tab w:val="right" w:leader="dot" w:pos="9016"/>
            </w:tabs>
            <w:rPr>
              <w:rFonts w:eastAsiaTheme="minorEastAsia"/>
              <w:noProof/>
              <w:lang w:eastAsia="en-GB"/>
            </w:rPr>
          </w:pPr>
          <w:hyperlink w:anchor="_Toc458687358" w:history="1">
            <w:r w:rsidR="00AF4D38" w:rsidRPr="00153995">
              <w:rPr>
                <w:rStyle w:val="Hyperlink"/>
                <w:rFonts w:ascii="Times New Roman" w:hAnsi="Times New Roman" w:cs="Times New Roman"/>
                <w:noProof/>
                <w:lang w:val="en-US" w:eastAsia="en-GB"/>
              </w:rPr>
              <w:t xml:space="preserve">3.2.6 </w:t>
            </w:r>
            <w:r w:rsidR="00AF4D38">
              <w:rPr>
                <w:rFonts w:eastAsiaTheme="minorEastAsia"/>
                <w:noProof/>
                <w:lang w:eastAsia="en-GB"/>
              </w:rPr>
              <w:tab/>
            </w:r>
            <w:r w:rsidR="00AF4D38" w:rsidRPr="00153995">
              <w:rPr>
                <w:rStyle w:val="Hyperlink"/>
                <w:rFonts w:ascii="Times New Roman" w:hAnsi="Times New Roman" w:cs="Times New Roman"/>
                <w:noProof/>
                <w:lang w:val="en-US" w:eastAsia="en-GB"/>
              </w:rPr>
              <w:t>Quality of Education</w:t>
            </w:r>
            <w:r w:rsidR="00AF4D38">
              <w:rPr>
                <w:noProof/>
                <w:webHidden/>
              </w:rPr>
              <w:tab/>
            </w:r>
            <w:r w:rsidR="00AF4D38">
              <w:rPr>
                <w:noProof/>
                <w:webHidden/>
              </w:rPr>
              <w:fldChar w:fldCharType="begin"/>
            </w:r>
            <w:r w:rsidR="00AF4D38">
              <w:rPr>
                <w:noProof/>
                <w:webHidden/>
              </w:rPr>
              <w:instrText xml:space="preserve"> PAGEREF _Toc458687358 \h </w:instrText>
            </w:r>
            <w:r w:rsidR="00AF4D38">
              <w:rPr>
                <w:noProof/>
                <w:webHidden/>
              </w:rPr>
            </w:r>
            <w:r w:rsidR="00AF4D38">
              <w:rPr>
                <w:noProof/>
                <w:webHidden/>
              </w:rPr>
              <w:fldChar w:fldCharType="separate"/>
            </w:r>
            <w:r w:rsidR="00AF4D38">
              <w:rPr>
                <w:noProof/>
                <w:webHidden/>
              </w:rPr>
              <w:t>39</w:t>
            </w:r>
            <w:r w:rsidR="00AF4D38">
              <w:rPr>
                <w:noProof/>
                <w:webHidden/>
              </w:rPr>
              <w:fldChar w:fldCharType="end"/>
            </w:r>
          </w:hyperlink>
        </w:p>
        <w:p w14:paraId="5EA924AE" w14:textId="77777777" w:rsidR="00AF4D38" w:rsidRDefault="0032666D">
          <w:pPr>
            <w:pStyle w:val="TOC2"/>
            <w:tabs>
              <w:tab w:val="left" w:pos="880"/>
              <w:tab w:val="right" w:leader="dot" w:pos="9016"/>
            </w:tabs>
            <w:rPr>
              <w:rFonts w:eastAsiaTheme="minorEastAsia"/>
              <w:noProof/>
              <w:lang w:eastAsia="en-GB"/>
            </w:rPr>
          </w:pPr>
          <w:hyperlink w:anchor="_Toc458687359" w:history="1">
            <w:r w:rsidR="00AF4D38" w:rsidRPr="00153995">
              <w:rPr>
                <w:rStyle w:val="Hyperlink"/>
                <w:rFonts w:ascii="Times New Roman" w:hAnsi="Times New Roman" w:cs="Times New Roman"/>
                <w:noProof/>
                <w:lang w:val="en-US"/>
              </w:rPr>
              <w:t>3.3</w:t>
            </w:r>
            <w:r w:rsidR="00AF4D38">
              <w:rPr>
                <w:rFonts w:eastAsiaTheme="minorEastAsia"/>
                <w:noProof/>
                <w:lang w:eastAsia="en-GB"/>
              </w:rPr>
              <w:tab/>
            </w:r>
            <w:r w:rsidR="00AF4D38" w:rsidRPr="00153995">
              <w:rPr>
                <w:rStyle w:val="Hyperlink"/>
                <w:rFonts w:ascii="Times New Roman" w:hAnsi="Times New Roman" w:cs="Times New Roman"/>
                <w:noProof/>
                <w:lang w:val="en-US"/>
              </w:rPr>
              <w:t xml:space="preserve"> Main Education Gaps:  A Summation</w:t>
            </w:r>
            <w:r w:rsidR="00AF4D38">
              <w:rPr>
                <w:noProof/>
                <w:webHidden/>
              </w:rPr>
              <w:tab/>
            </w:r>
            <w:r w:rsidR="00AF4D38">
              <w:rPr>
                <w:noProof/>
                <w:webHidden/>
              </w:rPr>
              <w:fldChar w:fldCharType="begin"/>
            </w:r>
            <w:r w:rsidR="00AF4D38">
              <w:rPr>
                <w:noProof/>
                <w:webHidden/>
              </w:rPr>
              <w:instrText xml:space="preserve"> PAGEREF _Toc458687359 \h </w:instrText>
            </w:r>
            <w:r w:rsidR="00AF4D38">
              <w:rPr>
                <w:noProof/>
                <w:webHidden/>
              </w:rPr>
            </w:r>
            <w:r w:rsidR="00AF4D38">
              <w:rPr>
                <w:noProof/>
                <w:webHidden/>
              </w:rPr>
              <w:fldChar w:fldCharType="separate"/>
            </w:r>
            <w:r w:rsidR="00AF4D38">
              <w:rPr>
                <w:noProof/>
                <w:webHidden/>
              </w:rPr>
              <w:t>39</w:t>
            </w:r>
            <w:r w:rsidR="00AF4D38">
              <w:rPr>
                <w:noProof/>
                <w:webHidden/>
              </w:rPr>
              <w:fldChar w:fldCharType="end"/>
            </w:r>
          </w:hyperlink>
        </w:p>
        <w:p w14:paraId="19F10014" w14:textId="77777777" w:rsidR="00AF4D38" w:rsidRDefault="0032666D">
          <w:pPr>
            <w:pStyle w:val="TOC1"/>
            <w:rPr>
              <w:rFonts w:asciiTheme="minorHAnsi" w:eastAsiaTheme="minorEastAsia" w:hAnsiTheme="minorHAnsi" w:cstheme="minorBidi"/>
              <w:b w:val="0"/>
              <w:lang w:eastAsia="en-GB"/>
            </w:rPr>
          </w:pPr>
          <w:hyperlink w:anchor="_Toc458687360" w:history="1">
            <w:r w:rsidR="00AF4D38" w:rsidRPr="00153995">
              <w:rPr>
                <w:rStyle w:val="Hyperlink"/>
              </w:rPr>
              <w:t>4.0:  Understanding Education Financing in Zambia (2010-2014)</w:t>
            </w:r>
            <w:r w:rsidR="00AF4D38">
              <w:rPr>
                <w:webHidden/>
              </w:rPr>
              <w:tab/>
            </w:r>
            <w:r w:rsidR="00AF4D38">
              <w:rPr>
                <w:webHidden/>
              </w:rPr>
              <w:fldChar w:fldCharType="begin"/>
            </w:r>
            <w:r w:rsidR="00AF4D38">
              <w:rPr>
                <w:webHidden/>
              </w:rPr>
              <w:instrText xml:space="preserve"> PAGEREF _Toc458687360 \h </w:instrText>
            </w:r>
            <w:r w:rsidR="00AF4D38">
              <w:rPr>
                <w:webHidden/>
              </w:rPr>
            </w:r>
            <w:r w:rsidR="00AF4D38">
              <w:rPr>
                <w:webHidden/>
              </w:rPr>
              <w:fldChar w:fldCharType="separate"/>
            </w:r>
            <w:r w:rsidR="00AF4D38">
              <w:rPr>
                <w:webHidden/>
              </w:rPr>
              <w:t>41</w:t>
            </w:r>
            <w:r w:rsidR="00AF4D38">
              <w:rPr>
                <w:webHidden/>
              </w:rPr>
              <w:fldChar w:fldCharType="end"/>
            </w:r>
          </w:hyperlink>
        </w:p>
        <w:p w14:paraId="4D9CC313" w14:textId="77777777" w:rsidR="00AF4D38" w:rsidRDefault="0032666D">
          <w:pPr>
            <w:pStyle w:val="TOC2"/>
            <w:tabs>
              <w:tab w:val="left" w:pos="880"/>
              <w:tab w:val="right" w:leader="dot" w:pos="9016"/>
            </w:tabs>
            <w:rPr>
              <w:rFonts w:eastAsiaTheme="minorEastAsia"/>
              <w:noProof/>
              <w:lang w:eastAsia="en-GB"/>
            </w:rPr>
          </w:pPr>
          <w:hyperlink w:anchor="_Toc458687361" w:history="1">
            <w:r w:rsidR="00AF4D38" w:rsidRPr="00153995">
              <w:rPr>
                <w:rStyle w:val="Hyperlink"/>
                <w:noProof/>
              </w:rPr>
              <w:t>4.1</w:t>
            </w:r>
            <w:r w:rsidR="00AF4D38">
              <w:rPr>
                <w:rFonts w:eastAsiaTheme="minorEastAsia"/>
                <w:noProof/>
                <w:lang w:eastAsia="en-GB"/>
              </w:rPr>
              <w:tab/>
            </w:r>
            <w:r w:rsidR="00AF4D38" w:rsidRPr="00153995">
              <w:rPr>
                <w:rStyle w:val="Hyperlink"/>
                <w:rFonts w:ascii="Times New Roman" w:hAnsi="Times New Roman" w:cs="Times New Roman"/>
                <w:noProof/>
              </w:rPr>
              <w:t>Size and Focus of External Financing of Education in Zambia, 2010 – 2014</w:t>
            </w:r>
            <w:r w:rsidR="00AF4D38">
              <w:rPr>
                <w:noProof/>
                <w:webHidden/>
              </w:rPr>
              <w:tab/>
            </w:r>
            <w:r w:rsidR="00AF4D38">
              <w:rPr>
                <w:noProof/>
                <w:webHidden/>
              </w:rPr>
              <w:fldChar w:fldCharType="begin"/>
            </w:r>
            <w:r w:rsidR="00AF4D38">
              <w:rPr>
                <w:noProof/>
                <w:webHidden/>
              </w:rPr>
              <w:instrText xml:space="preserve"> PAGEREF _Toc458687361 \h </w:instrText>
            </w:r>
            <w:r w:rsidR="00AF4D38">
              <w:rPr>
                <w:noProof/>
                <w:webHidden/>
              </w:rPr>
            </w:r>
            <w:r w:rsidR="00AF4D38">
              <w:rPr>
                <w:noProof/>
                <w:webHidden/>
              </w:rPr>
              <w:fldChar w:fldCharType="separate"/>
            </w:r>
            <w:r w:rsidR="00AF4D38">
              <w:rPr>
                <w:noProof/>
                <w:webHidden/>
              </w:rPr>
              <w:t>41</w:t>
            </w:r>
            <w:r w:rsidR="00AF4D38">
              <w:rPr>
                <w:noProof/>
                <w:webHidden/>
              </w:rPr>
              <w:fldChar w:fldCharType="end"/>
            </w:r>
          </w:hyperlink>
        </w:p>
        <w:p w14:paraId="11F49881" w14:textId="77777777" w:rsidR="00AF4D38" w:rsidRDefault="0032666D">
          <w:pPr>
            <w:pStyle w:val="TOC2"/>
            <w:tabs>
              <w:tab w:val="left" w:pos="880"/>
              <w:tab w:val="right" w:leader="dot" w:pos="9016"/>
            </w:tabs>
            <w:rPr>
              <w:rFonts w:eastAsiaTheme="minorEastAsia"/>
              <w:noProof/>
              <w:lang w:eastAsia="en-GB"/>
            </w:rPr>
          </w:pPr>
          <w:hyperlink w:anchor="_Toc458687362" w:history="1">
            <w:r w:rsidR="00AF4D38" w:rsidRPr="00153995">
              <w:rPr>
                <w:rStyle w:val="Hyperlink"/>
                <w:rFonts w:ascii="Times New Roman" w:hAnsi="Times New Roman" w:cs="Times New Roman"/>
                <w:noProof/>
              </w:rPr>
              <w:t>4.2</w:t>
            </w:r>
            <w:r w:rsidR="00AF4D38">
              <w:rPr>
                <w:rFonts w:eastAsiaTheme="minorEastAsia"/>
                <w:noProof/>
                <w:lang w:eastAsia="en-GB"/>
              </w:rPr>
              <w:tab/>
            </w:r>
            <w:r w:rsidR="00AF4D38" w:rsidRPr="00153995">
              <w:rPr>
                <w:rStyle w:val="Hyperlink"/>
                <w:rFonts w:ascii="Times New Roman" w:hAnsi="Times New Roman" w:cs="Times New Roman"/>
                <w:noProof/>
              </w:rPr>
              <w:t>Size and Focus of Domestic Financing of Education in Zambia, 2010 – 2014</w:t>
            </w:r>
            <w:r w:rsidR="00AF4D38">
              <w:rPr>
                <w:noProof/>
                <w:webHidden/>
              </w:rPr>
              <w:tab/>
            </w:r>
            <w:r w:rsidR="00AF4D38">
              <w:rPr>
                <w:noProof/>
                <w:webHidden/>
              </w:rPr>
              <w:fldChar w:fldCharType="begin"/>
            </w:r>
            <w:r w:rsidR="00AF4D38">
              <w:rPr>
                <w:noProof/>
                <w:webHidden/>
              </w:rPr>
              <w:instrText xml:space="preserve"> PAGEREF _Toc458687362 \h </w:instrText>
            </w:r>
            <w:r w:rsidR="00AF4D38">
              <w:rPr>
                <w:noProof/>
                <w:webHidden/>
              </w:rPr>
            </w:r>
            <w:r w:rsidR="00AF4D38">
              <w:rPr>
                <w:noProof/>
                <w:webHidden/>
              </w:rPr>
              <w:fldChar w:fldCharType="separate"/>
            </w:r>
            <w:r w:rsidR="00AF4D38">
              <w:rPr>
                <w:noProof/>
                <w:webHidden/>
              </w:rPr>
              <w:t>43</w:t>
            </w:r>
            <w:r w:rsidR="00AF4D38">
              <w:rPr>
                <w:noProof/>
                <w:webHidden/>
              </w:rPr>
              <w:fldChar w:fldCharType="end"/>
            </w:r>
          </w:hyperlink>
        </w:p>
        <w:p w14:paraId="6F8B5637" w14:textId="77777777" w:rsidR="00AF4D38" w:rsidRDefault="0032666D">
          <w:pPr>
            <w:pStyle w:val="TOC2"/>
            <w:tabs>
              <w:tab w:val="left" w:pos="880"/>
              <w:tab w:val="right" w:leader="dot" w:pos="9016"/>
            </w:tabs>
            <w:rPr>
              <w:rFonts w:eastAsiaTheme="minorEastAsia"/>
              <w:noProof/>
              <w:lang w:eastAsia="en-GB"/>
            </w:rPr>
          </w:pPr>
          <w:hyperlink w:anchor="_Toc458687363" w:history="1">
            <w:r w:rsidR="00AF4D38" w:rsidRPr="00153995">
              <w:rPr>
                <w:rStyle w:val="Hyperlink"/>
                <w:noProof/>
              </w:rPr>
              <w:t>4.3</w:t>
            </w:r>
            <w:r w:rsidR="00AF4D38">
              <w:rPr>
                <w:rFonts w:eastAsiaTheme="minorEastAsia"/>
                <w:noProof/>
                <w:lang w:eastAsia="en-GB"/>
              </w:rPr>
              <w:tab/>
            </w:r>
            <w:r w:rsidR="00AF4D38" w:rsidRPr="00153995">
              <w:rPr>
                <w:rStyle w:val="Hyperlink"/>
                <w:noProof/>
              </w:rPr>
              <w:t>Trends in Current and Potential Sources of National Revenue</w:t>
            </w:r>
            <w:r w:rsidR="00AF4D38">
              <w:rPr>
                <w:noProof/>
                <w:webHidden/>
              </w:rPr>
              <w:tab/>
            </w:r>
            <w:r w:rsidR="00AF4D38">
              <w:rPr>
                <w:noProof/>
                <w:webHidden/>
              </w:rPr>
              <w:fldChar w:fldCharType="begin"/>
            </w:r>
            <w:r w:rsidR="00AF4D38">
              <w:rPr>
                <w:noProof/>
                <w:webHidden/>
              </w:rPr>
              <w:instrText xml:space="preserve"> PAGEREF _Toc458687363 \h </w:instrText>
            </w:r>
            <w:r w:rsidR="00AF4D38">
              <w:rPr>
                <w:noProof/>
                <w:webHidden/>
              </w:rPr>
            </w:r>
            <w:r w:rsidR="00AF4D38">
              <w:rPr>
                <w:noProof/>
                <w:webHidden/>
              </w:rPr>
              <w:fldChar w:fldCharType="separate"/>
            </w:r>
            <w:r w:rsidR="00AF4D38">
              <w:rPr>
                <w:noProof/>
                <w:webHidden/>
              </w:rPr>
              <w:t>46</w:t>
            </w:r>
            <w:r w:rsidR="00AF4D38">
              <w:rPr>
                <w:noProof/>
                <w:webHidden/>
              </w:rPr>
              <w:fldChar w:fldCharType="end"/>
            </w:r>
          </w:hyperlink>
        </w:p>
        <w:p w14:paraId="4F777583" w14:textId="77777777" w:rsidR="00AF4D38" w:rsidRDefault="0032666D">
          <w:pPr>
            <w:pStyle w:val="TOC1"/>
            <w:rPr>
              <w:rFonts w:asciiTheme="minorHAnsi" w:eastAsiaTheme="minorEastAsia" w:hAnsiTheme="minorHAnsi" w:cstheme="minorBidi"/>
              <w:b w:val="0"/>
              <w:lang w:eastAsia="en-GB"/>
            </w:rPr>
          </w:pPr>
          <w:hyperlink w:anchor="_Toc458687364" w:history="1">
            <w:r w:rsidR="00AF4D38" w:rsidRPr="00153995">
              <w:rPr>
                <w:rStyle w:val="Hyperlink"/>
              </w:rPr>
              <w:t>5.0: Lessons, Conclusions and Policy Recommendations</w:t>
            </w:r>
            <w:r w:rsidR="00AF4D38">
              <w:rPr>
                <w:webHidden/>
              </w:rPr>
              <w:tab/>
            </w:r>
            <w:r w:rsidR="00AF4D38">
              <w:rPr>
                <w:webHidden/>
              </w:rPr>
              <w:fldChar w:fldCharType="begin"/>
            </w:r>
            <w:r w:rsidR="00AF4D38">
              <w:rPr>
                <w:webHidden/>
              </w:rPr>
              <w:instrText xml:space="preserve"> PAGEREF _Toc458687364 \h </w:instrText>
            </w:r>
            <w:r w:rsidR="00AF4D38">
              <w:rPr>
                <w:webHidden/>
              </w:rPr>
            </w:r>
            <w:r w:rsidR="00AF4D38">
              <w:rPr>
                <w:webHidden/>
              </w:rPr>
              <w:fldChar w:fldCharType="separate"/>
            </w:r>
            <w:r w:rsidR="00AF4D38">
              <w:rPr>
                <w:webHidden/>
              </w:rPr>
              <w:t>47</w:t>
            </w:r>
            <w:r w:rsidR="00AF4D38">
              <w:rPr>
                <w:webHidden/>
              </w:rPr>
              <w:fldChar w:fldCharType="end"/>
            </w:r>
          </w:hyperlink>
        </w:p>
        <w:p w14:paraId="34E41468" w14:textId="77777777" w:rsidR="00AF4D38" w:rsidRDefault="0032666D">
          <w:pPr>
            <w:pStyle w:val="TOC2"/>
            <w:tabs>
              <w:tab w:val="left" w:pos="880"/>
              <w:tab w:val="right" w:leader="dot" w:pos="9016"/>
            </w:tabs>
            <w:rPr>
              <w:rFonts w:eastAsiaTheme="minorEastAsia"/>
              <w:noProof/>
              <w:lang w:eastAsia="en-GB"/>
            </w:rPr>
          </w:pPr>
          <w:hyperlink w:anchor="_Toc458687365" w:history="1">
            <w:r w:rsidR="00AF4D38" w:rsidRPr="00153995">
              <w:rPr>
                <w:rStyle w:val="Hyperlink"/>
                <w:rFonts w:ascii="Times New Roman" w:hAnsi="Times New Roman" w:cs="Times New Roman"/>
                <w:b/>
                <w:noProof/>
                <w:lang w:val="en-US"/>
              </w:rPr>
              <w:t>5.1</w:t>
            </w:r>
            <w:r w:rsidR="00AF4D38">
              <w:rPr>
                <w:rFonts w:eastAsiaTheme="minorEastAsia"/>
                <w:noProof/>
                <w:lang w:eastAsia="en-GB"/>
              </w:rPr>
              <w:tab/>
            </w:r>
            <w:r w:rsidR="00AF4D38" w:rsidRPr="00153995">
              <w:rPr>
                <w:rStyle w:val="Hyperlink"/>
                <w:noProof/>
                <w:lang w:val="en-US"/>
              </w:rPr>
              <w:t>Key Lessons</w:t>
            </w:r>
            <w:r w:rsidR="00AF4D38">
              <w:rPr>
                <w:noProof/>
                <w:webHidden/>
              </w:rPr>
              <w:tab/>
            </w:r>
            <w:r w:rsidR="00AF4D38">
              <w:rPr>
                <w:noProof/>
                <w:webHidden/>
              </w:rPr>
              <w:fldChar w:fldCharType="begin"/>
            </w:r>
            <w:r w:rsidR="00AF4D38">
              <w:rPr>
                <w:noProof/>
                <w:webHidden/>
              </w:rPr>
              <w:instrText xml:space="preserve"> PAGEREF _Toc458687365 \h </w:instrText>
            </w:r>
            <w:r w:rsidR="00AF4D38">
              <w:rPr>
                <w:noProof/>
                <w:webHidden/>
              </w:rPr>
            </w:r>
            <w:r w:rsidR="00AF4D38">
              <w:rPr>
                <w:noProof/>
                <w:webHidden/>
              </w:rPr>
              <w:fldChar w:fldCharType="separate"/>
            </w:r>
            <w:r w:rsidR="00AF4D38">
              <w:rPr>
                <w:noProof/>
                <w:webHidden/>
              </w:rPr>
              <w:t>47</w:t>
            </w:r>
            <w:r w:rsidR="00AF4D38">
              <w:rPr>
                <w:noProof/>
                <w:webHidden/>
              </w:rPr>
              <w:fldChar w:fldCharType="end"/>
            </w:r>
          </w:hyperlink>
        </w:p>
        <w:p w14:paraId="2CEFB040" w14:textId="77777777" w:rsidR="00AF4D38" w:rsidRDefault="0032666D">
          <w:pPr>
            <w:pStyle w:val="TOC2"/>
            <w:tabs>
              <w:tab w:val="left" w:pos="880"/>
              <w:tab w:val="right" w:leader="dot" w:pos="9016"/>
            </w:tabs>
            <w:rPr>
              <w:rFonts w:eastAsiaTheme="minorEastAsia"/>
              <w:noProof/>
              <w:lang w:eastAsia="en-GB"/>
            </w:rPr>
          </w:pPr>
          <w:hyperlink w:anchor="_Toc458687366" w:history="1">
            <w:r w:rsidR="00AF4D38" w:rsidRPr="00153995">
              <w:rPr>
                <w:rStyle w:val="Hyperlink"/>
                <w:noProof/>
                <w:lang w:val="en-US"/>
              </w:rPr>
              <w:t>5.2</w:t>
            </w:r>
            <w:r w:rsidR="00AF4D38">
              <w:rPr>
                <w:rFonts w:eastAsiaTheme="minorEastAsia"/>
                <w:noProof/>
                <w:lang w:eastAsia="en-GB"/>
              </w:rPr>
              <w:tab/>
            </w:r>
            <w:r w:rsidR="00AF4D38" w:rsidRPr="00153995">
              <w:rPr>
                <w:rStyle w:val="Hyperlink"/>
                <w:noProof/>
                <w:lang w:val="en-US"/>
              </w:rPr>
              <w:t>Conclusions</w:t>
            </w:r>
            <w:r w:rsidR="00AF4D38">
              <w:rPr>
                <w:noProof/>
                <w:webHidden/>
              </w:rPr>
              <w:tab/>
            </w:r>
            <w:r w:rsidR="00AF4D38">
              <w:rPr>
                <w:noProof/>
                <w:webHidden/>
              </w:rPr>
              <w:fldChar w:fldCharType="begin"/>
            </w:r>
            <w:r w:rsidR="00AF4D38">
              <w:rPr>
                <w:noProof/>
                <w:webHidden/>
              </w:rPr>
              <w:instrText xml:space="preserve"> PAGEREF _Toc458687366 \h </w:instrText>
            </w:r>
            <w:r w:rsidR="00AF4D38">
              <w:rPr>
                <w:noProof/>
                <w:webHidden/>
              </w:rPr>
            </w:r>
            <w:r w:rsidR="00AF4D38">
              <w:rPr>
                <w:noProof/>
                <w:webHidden/>
              </w:rPr>
              <w:fldChar w:fldCharType="separate"/>
            </w:r>
            <w:r w:rsidR="00AF4D38">
              <w:rPr>
                <w:noProof/>
                <w:webHidden/>
              </w:rPr>
              <w:t>48</w:t>
            </w:r>
            <w:r w:rsidR="00AF4D38">
              <w:rPr>
                <w:noProof/>
                <w:webHidden/>
              </w:rPr>
              <w:fldChar w:fldCharType="end"/>
            </w:r>
          </w:hyperlink>
        </w:p>
        <w:p w14:paraId="02495242" w14:textId="77777777" w:rsidR="00AF4D38" w:rsidRDefault="0032666D">
          <w:pPr>
            <w:pStyle w:val="TOC2"/>
            <w:tabs>
              <w:tab w:val="left" w:pos="880"/>
              <w:tab w:val="right" w:leader="dot" w:pos="9016"/>
            </w:tabs>
            <w:rPr>
              <w:rFonts w:eastAsiaTheme="minorEastAsia"/>
              <w:noProof/>
              <w:lang w:eastAsia="en-GB"/>
            </w:rPr>
          </w:pPr>
          <w:hyperlink w:anchor="_Toc458687367" w:history="1">
            <w:r w:rsidR="00AF4D38" w:rsidRPr="00153995">
              <w:rPr>
                <w:rStyle w:val="Hyperlink"/>
                <w:noProof/>
                <w:lang w:val="en-US"/>
              </w:rPr>
              <w:t>5.3</w:t>
            </w:r>
            <w:r w:rsidR="00AF4D38">
              <w:rPr>
                <w:rFonts w:eastAsiaTheme="minorEastAsia"/>
                <w:noProof/>
                <w:lang w:eastAsia="en-GB"/>
              </w:rPr>
              <w:tab/>
            </w:r>
            <w:r w:rsidR="00AF4D38" w:rsidRPr="00153995">
              <w:rPr>
                <w:rStyle w:val="Hyperlink"/>
                <w:noProof/>
                <w:lang w:val="en-US"/>
              </w:rPr>
              <w:t>Recommendations</w:t>
            </w:r>
            <w:r w:rsidR="00AF4D38">
              <w:rPr>
                <w:noProof/>
                <w:webHidden/>
              </w:rPr>
              <w:tab/>
            </w:r>
            <w:r w:rsidR="00AF4D38">
              <w:rPr>
                <w:noProof/>
                <w:webHidden/>
              </w:rPr>
              <w:fldChar w:fldCharType="begin"/>
            </w:r>
            <w:r w:rsidR="00AF4D38">
              <w:rPr>
                <w:noProof/>
                <w:webHidden/>
              </w:rPr>
              <w:instrText xml:space="preserve"> PAGEREF _Toc458687367 \h </w:instrText>
            </w:r>
            <w:r w:rsidR="00AF4D38">
              <w:rPr>
                <w:noProof/>
                <w:webHidden/>
              </w:rPr>
            </w:r>
            <w:r w:rsidR="00AF4D38">
              <w:rPr>
                <w:noProof/>
                <w:webHidden/>
              </w:rPr>
              <w:fldChar w:fldCharType="separate"/>
            </w:r>
            <w:r w:rsidR="00AF4D38">
              <w:rPr>
                <w:noProof/>
                <w:webHidden/>
              </w:rPr>
              <w:t>49</w:t>
            </w:r>
            <w:r w:rsidR="00AF4D38">
              <w:rPr>
                <w:noProof/>
                <w:webHidden/>
              </w:rPr>
              <w:fldChar w:fldCharType="end"/>
            </w:r>
          </w:hyperlink>
        </w:p>
        <w:p w14:paraId="51E55AA2" w14:textId="77777777" w:rsidR="00AF4D38" w:rsidRDefault="0032666D">
          <w:pPr>
            <w:pStyle w:val="TOC1"/>
            <w:rPr>
              <w:rFonts w:asciiTheme="minorHAnsi" w:eastAsiaTheme="minorEastAsia" w:hAnsiTheme="minorHAnsi" w:cstheme="minorBidi"/>
              <w:b w:val="0"/>
              <w:lang w:eastAsia="en-GB"/>
            </w:rPr>
          </w:pPr>
          <w:hyperlink w:anchor="_Toc458687368" w:history="1">
            <w:r w:rsidR="00AF4D38" w:rsidRPr="00153995">
              <w:rPr>
                <w:rStyle w:val="Hyperlink"/>
              </w:rPr>
              <w:t>6.0: Sites of Struggle for Civil Society Advocacy Beyond 2015</w:t>
            </w:r>
            <w:r w:rsidR="00AF4D38">
              <w:rPr>
                <w:webHidden/>
              </w:rPr>
              <w:tab/>
            </w:r>
            <w:r w:rsidR="00AF4D38">
              <w:rPr>
                <w:webHidden/>
              </w:rPr>
              <w:fldChar w:fldCharType="begin"/>
            </w:r>
            <w:r w:rsidR="00AF4D38">
              <w:rPr>
                <w:webHidden/>
              </w:rPr>
              <w:instrText xml:space="preserve"> PAGEREF _Toc458687368 \h </w:instrText>
            </w:r>
            <w:r w:rsidR="00AF4D38">
              <w:rPr>
                <w:webHidden/>
              </w:rPr>
            </w:r>
            <w:r w:rsidR="00AF4D38">
              <w:rPr>
                <w:webHidden/>
              </w:rPr>
              <w:fldChar w:fldCharType="separate"/>
            </w:r>
            <w:r w:rsidR="00AF4D38">
              <w:rPr>
                <w:webHidden/>
              </w:rPr>
              <w:t>52</w:t>
            </w:r>
            <w:r w:rsidR="00AF4D38">
              <w:rPr>
                <w:webHidden/>
              </w:rPr>
              <w:fldChar w:fldCharType="end"/>
            </w:r>
          </w:hyperlink>
        </w:p>
        <w:p w14:paraId="66D2DC95" w14:textId="77777777" w:rsidR="00AF4D38" w:rsidRDefault="0032666D">
          <w:pPr>
            <w:pStyle w:val="TOC1"/>
            <w:rPr>
              <w:rFonts w:asciiTheme="minorHAnsi" w:eastAsiaTheme="minorEastAsia" w:hAnsiTheme="minorHAnsi" w:cstheme="minorBidi"/>
              <w:b w:val="0"/>
              <w:lang w:eastAsia="en-GB"/>
            </w:rPr>
          </w:pPr>
          <w:hyperlink w:anchor="_Toc458687369" w:history="1">
            <w:r w:rsidR="00AF4D38" w:rsidRPr="00153995">
              <w:rPr>
                <w:rStyle w:val="Hyperlink"/>
              </w:rPr>
              <w:t>References</w:t>
            </w:r>
            <w:r w:rsidR="00AF4D38">
              <w:rPr>
                <w:webHidden/>
              </w:rPr>
              <w:tab/>
            </w:r>
            <w:r w:rsidR="00AF4D38">
              <w:rPr>
                <w:webHidden/>
              </w:rPr>
              <w:fldChar w:fldCharType="begin"/>
            </w:r>
            <w:r w:rsidR="00AF4D38">
              <w:rPr>
                <w:webHidden/>
              </w:rPr>
              <w:instrText xml:space="preserve"> PAGEREF _Toc458687369 \h </w:instrText>
            </w:r>
            <w:r w:rsidR="00AF4D38">
              <w:rPr>
                <w:webHidden/>
              </w:rPr>
            </w:r>
            <w:r w:rsidR="00AF4D38">
              <w:rPr>
                <w:webHidden/>
              </w:rPr>
              <w:fldChar w:fldCharType="separate"/>
            </w:r>
            <w:r w:rsidR="00AF4D38">
              <w:rPr>
                <w:webHidden/>
              </w:rPr>
              <w:t>55</w:t>
            </w:r>
            <w:r w:rsidR="00AF4D38">
              <w:rPr>
                <w:webHidden/>
              </w:rPr>
              <w:fldChar w:fldCharType="end"/>
            </w:r>
          </w:hyperlink>
        </w:p>
        <w:p w14:paraId="3BF58CF9" w14:textId="7210C925" w:rsidR="00770712" w:rsidRPr="00770712" w:rsidRDefault="00036E90">
          <w:pPr>
            <w:rPr>
              <w:rFonts w:ascii="Times New Roman" w:hAnsi="Times New Roman" w:cs="Times New Roman"/>
              <w:b/>
              <w:bCs/>
              <w:noProof/>
            </w:rPr>
          </w:pPr>
          <w:r w:rsidRPr="00291B12">
            <w:rPr>
              <w:rFonts w:ascii="Times New Roman" w:hAnsi="Times New Roman" w:cs="Times New Roman"/>
              <w:b/>
              <w:bCs/>
              <w:noProof/>
            </w:rPr>
            <w:lastRenderedPageBreak/>
            <w:fldChar w:fldCharType="end"/>
          </w:r>
        </w:p>
      </w:sdtContent>
    </w:sdt>
    <w:p w14:paraId="562E004D" w14:textId="77777777" w:rsidR="00770712" w:rsidRDefault="00770712">
      <w:pPr>
        <w:rPr>
          <w:rFonts w:ascii="Times New Roman" w:eastAsiaTheme="majorEastAsia" w:hAnsi="Times New Roman" w:cs="Times New Roman"/>
          <w:color w:val="2E74B5" w:themeColor="accent1" w:themeShade="BF"/>
          <w:sz w:val="26"/>
          <w:szCs w:val="26"/>
          <w:lang w:val="en-US"/>
        </w:rPr>
      </w:pPr>
    </w:p>
    <w:p w14:paraId="6DF4DAE2" w14:textId="77777777" w:rsidR="00F80773" w:rsidRDefault="00F80773" w:rsidP="00770712">
      <w:pPr>
        <w:pStyle w:val="Heading1"/>
        <w:rPr>
          <w:lang w:val="en-US"/>
        </w:rPr>
      </w:pPr>
      <w:bookmarkStart w:id="1" w:name="_Toc458687335"/>
      <w:r>
        <w:rPr>
          <w:lang w:val="en-US"/>
        </w:rPr>
        <w:t>List of Abbreviations</w:t>
      </w:r>
      <w:bookmarkEnd w:id="1"/>
    </w:p>
    <w:p w14:paraId="7978C4E5" w14:textId="77777777" w:rsidR="00000D56" w:rsidRDefault="00000D56">
      <w:pPr>
        <w:rPr>
          <w:rFonts w:ascii="Times New Roman" w:eastAsiaTheme="majorEastAsia" w:hAnsi="Times New Roman" w:cs="Times New Roman"/>
          <w:color w:val="2E74B5" w:themeColor="accent1" w:themeShade="BF"/>
          <w:sz w:val="26"/>
          <w:szCs w:val="26"/>
          <w:lang w:val="en-US"/>
        </w:rPr>
      </w:pPr>
    </w:p>
    <w:tbl>
      <w:tblPr>
        <w:tblStyle w:val="TableGrid"/>
        <w:tblW w:w="0" w:type="auto"/>
        <w:tblLook w:val="04A0" w:firstRow="1" w:lastRow="0" w:firstColumn="1" w:lastColumn="0" w:noHBand="0" w:noVBand="1"/>
      </w:tblPr>
      <w:tblGrid>
        <w:gridCol w:w="2093"/>
        <w:gridCol w:w="7149"/>
      </w:tblGrid>
      <w:tr w:rsidR="00000D56" w:rsidRPr="00000D56" w14:paraId="14180015" w14:textId="77777777" w:rsidTr="00F80773">
        <w:tc>
          <w:tcPr>
            <w:tcW w:w="2093" w:type="dxa"/>
          </w:tcPr>
          <w:p w14:paraId="482447C1"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BESSIP</w:t>
            </w:r>
          </w:p>
        </w:tc>
        <w:tc>
          <w:tcPr>
            <w:tcW w:w="7149" w:type="dxa"/>
          </w:tcPr>
          <w:p w14:paraId="32E19B85"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Basic Education Sub-Sector Investment Programme</w:t>
            </w:r>
          </w:p>
        </w:tc>
      </w:tr>
      <w:tr w:rsidR="00000D56" w:rsidRPr="00000D56" w14:paraId="0AE47102" w14:textId="77777777" w:rsidTr="00F80773">
        <w:tc>
          <w:tcPr>
            <w:tcW w:w="2093" w:type="dxa"/>
          </w:tcPr>
          <w:p w14:paraId="77C7D308"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CSO</w:t>
            </w:r>
          </w:p>
        </w:tc>
        <w:tc>
          <w:tcPr>
            <w:tcW w:w="7149" w:type="dxa"/>
          </w:tcPr>
          <w:p w14:paraId="47F7DCF5"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Central Statistical Office</w:t>
            </w:r>
          </w:p>
        </w:tc>
      </w:tr>
      <w:tr w:rsidR="00000D56" w:rsidRPr="00000D56" w14:paraId="0B1AEBDC" w14:textId="77777777" w:rsidTr="00F80773">
        <w:tc>
          <w:tcPr>
            <w:tcW w:w="2093" w:type="dxa"/>
          </w:tcPr>
          <w:p w14:paraId="78D01092"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CSOs</w:t>
            </w:r>
          </w:p>
        </w:tc>
        <w:tc>
          <w:tcPr>
            <w:tcW w:w="7149" w:type="dxa"/>
          </w:tcPr>
          <w:p w14:paraId="6118AFBE" w14:textId="7CB65752"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 xml:space="preserve">Civil Society </w:t>
            </w:r>
            <w:r w:rsidR="00770712" w:rsidRPr="00000D56">
              <w:rPr>
                <w:rFonts w:ascii="Times New Roman" w:hAnsi="Times New Roman" w:cs="Times New Roman"/>
                <w:lang w:val="en-US"/>
              </w:rPr>
              <w:t>Organizations</w:t>
            </w:r>
          </w:p>
        </w:tc>
      </w:tr>
      <w:tr w:rsidR="00000D56" w:rsidRPr="00000D56" w14:paraId="6A487123" w14:textId="77777777" w:rsidTr="00F80773">
        <w:tc>
          <w:tcPr>
            <w:tcW w:w="2093" w:type="dxa"/>
          </w:tcPr>
          <w:p w14:paraId="22D7169D"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ECCDE</w:t>
            </w:r>
          </w:p>
        </w:tc>
        <w:tc>
          <w:tcPr>
            <w:tcW w:w="7149" w:type="dxa"/>
          </w:tcPr>
          <w:p w14:paraId="308B47A6"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Early Childhood Care, Development and Education</w:t>
            </w:r>
          </w:p>
        </w:tc>
      </w:tr>
      <w:tr w:rsidR="00000D56" w:rsidRPr="00000D56" w14:paraId="1A841756" w14:textId="77777777" w:rsidTr="00F80773">
        <w:tc>
          <w:tcPr>
            <w:tcW w:w="2093" w:type="dxa"/>
          </w:tcPr>
          <w:p w14:paraId="782930A4"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EFA</w:t>
            </w:r>
          </w:p>
        </w:tc>
        <w:tc>
          <w:tcPr>
            <w:tcW w:w="7149" w:type="dxa"/>
          </w:tcPr>
          <w:p w14:paraId="5F3BF71E"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Education for All</w:t>
            </w:r>
          </w:p>
        </w:tc>
      </w:tr>
      <w:tr w:rsidR="00000D56" w:rsidRPr="00000D56" w14:paraId="49435006" w14:textId="77777777" w:rsidTr="00F80773">
        <w:tc>
          <w:tcPr>
            <w:tcW w:w="2093" w:type="dxa"/>
          </w:tcPr>
          <w:p w14:paraId="58800520"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GDP</w:t>
            </w:r>
          </w:p>
        </w:tc>
        <w:tc>
          <w:tcPr>
            <w:tcW w:w="7149" w:type="dxa"/>
          </w:tcPr>
          <w:p w14:paraId="42517005"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Gross Domestic Product</w:t>
            </w:r>
          </w:p>
        </w:tc>
      </w:tr>
      <w:tr w:rsidR="0052343A" w:rsidRPr="00000D56" w14:paraId="07457BD9" w14:textId="77777777" w:rsidTr="00F80773">
        <w:tc>
          <w:tcPr>
            <w:tcW w:w="2093" w:type="dxa"/>
          </w:tcPr>
          <w:p w14:paraId="08082DEC" w14:textId="0FACDD45" w:rsidR="0052343A" w:rsidRPr="00000D56" w:rsidRDefault="0052343A" w:rsidP="00F80773">
            <w:pPr>
              <w:rPr>
                <w:rFonts w:ascii="Times New Roman" w:hAnsi="Times New Roman" w:cs="Times New Roman"/>
                <w:lang w:val="en-US"/>
              </w:rPr>
            </w:pPr>
            <w:r>
              <w:rPr>
                <w:rFonts w:ascii="Times New Roman" w:hAnsi="Times New Roman" w:cs="Times New Roman"/>
                <w:lang w:val="en-US"/>
              </w:rPr>
              <w:t>GRZ</w:t>
            </w:r>
          </w:p>
        </w:tc>
        <w:tc>
          <w:tcPr>
            <w:tcW w:w="7149" w:type="dxa"/>
          </w:tcPr>
          <w:p w14:paraId="3CD6609F" w14:textId="75B164B3" w:rsidR="0052343A" w:rsidRPr="00000D56" w:rsidRDefault="0052343A" w:rsidP="00F80773">
            <w:pPr>
              <w:rPr>
                <w:rFonts w:ascii="Times New Roman" w:hAnsi="Times New Roman" w:cs="Times New Roman"/>
                <w:lang w:val="en-US"/>
              </w:rPr>
            </w:pPr>
            <w:r>
              <w:rPr>
                <w:rFonts w:ascii="Times New Roman" w:hAnsi="Times New Roman" w:cs="Times New Roman"/>
                <w:lang w:val="en-US"/>
              </w:rPr>
              <w:t>Government of the Republic of Zambia</w:t>
            </w:r>
          </w:p>
        </w:tc>
      </w:tr>
      <w:tr w:rsidR="00000D56" w:rsidRPr="00000D56" w14:paraId="03D78D1F" w14:textId="77777777" w:rsidTr="00F80773">
        <w:tc>
          <w:tcPr>
            <w:tcW w:w="2093" w:type="dxa"/>
          </w:tcPr>
          <w:p w14:paraId="3661D8B6"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IMF</w:t>
            </w:r>
          </w:p>
        </w:tc>
        <w:tc>
          <w:tcPr>
            <w:tcW w:w="7149" w:type="dxa"/>
          </w:tcPr>
          <w:p w14:paraId="62C3927C"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International Monetary Fund</w:t>
            </w:r>
          </w:p>
        </w:tc>
      </w:tr>
      <w:tr w:rsidR="00000D56" w:rsidRPr="00000D56" w14:paraId="016986DC" w14:textId="77777777" w:rsidTr="00F80773">
        <w:tc>
          <w:tcPr>
            <w:tcW w:w="2093" w:type="dxa"/>
          </w:tcPr>
          <w:p w14:paraId="7F4D8B37"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IOB</w:t>
            </w:r>
          </w:p>
        </w:tc>
        <w:tc>
          <w:tcPr>
            <w:tcW w:w="7149" w:type="dxa"/>
          </w:tcPr>
          <w:p w14:paraId="5CE2BC95" w14:textId="3507E70F" w:rsidR="00000D56" w:rsidRPr="00000D56" w:rsidRDefault="00770712" w:rsidP="00F80773">
            <w:pPr>
              <w:rPr>
                <w:rFonts w:ascii="Times New Roman" w:hAnsi="Times New Roman" w:cs="Times New Roman"/>
                <w:lang w:val="en-US"/>
              </w:rPr>
            </w:pPr>
            <w:r>
              <w:rPr>
                <w:rFonts w:ascii="Times New Roman" w:hAnsi="Times New Roman" w:cs="Times New Roman"/>
                <w:lang w:val="en-US"/>
              </w:rPr>
              <w:t>Operations Evaluation Department</w:t>
            </w:r>
          </w:p>
        </w:tc>
      </w:tr>
      <w:tr w:rsidR="00000D56" w:rsidRPr="00000D56" w14:paraId="23344BC9" w14:textId="77777777" w:rsidTr="00F80773">
        <w:tc>
          <w:tcPr>
            <w:tcW w:w="2093" w:type="dxa"/>
          </w:tcPr>
          <w:p w14:paraId="48675A85"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JAS</w:t>
            </w:r>
          </w:p>
        </w:tc>
        <w:tc>
          <w:tcPr>
            <w:tcW w:w="7149" w:type="dxa"/>
          </w:tcPr>
          <w:p w14:paraId="40088DCA"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Joint Assistance Strategy</w:t>
            </w:r>
          </w:p>
        </w:tc>
      </w:tr>
      <w:tr w:rsidR="00000D56" w:rsidRPr="00000D56" w14:paraId="2A9E7B0E" w14:textId="77777777" w:rsidTr="00F80773">
        <w:tc>
          <w:tcPr>
            <w:tcW w:w="2093" w:type="dxa"/>
          </w:tcPr>
          <w:p w14:paraId="284C29D9"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LCMS</w:t>
            </w:r>
          </w:p>
        </w:tc>
        <w:tc>
          <w:tcPr>
            <w:tcW w:w="7149" w:type="dxa"/>
          </w:tcPr>
          <w:p w14:paraId="0CEE3CC8"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Living Conditions Monitoring Survey</w:t>
            </w:r>
          </w:p>
        </w:tc>
      </w:tr>
      <w:tr w:rsidR="00000D56" w:rsidRPr="00000D56" w14:paraId="15C65C2D" w14:textId="77777777" w:rsidTr="00F80773">
        <w:tc>
          <w:tcPr>
            <w:tcW w:w="2093" w:type="dxa"/>
          </w:tcPr>
          <w:p w14:paraId="1CE39CFB"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MDGs</w:t>
            </w:r>
          </w:p>
        </w:tc>
        <w:tc>
          <w:tcPr>
            <w:tcW w:w="7149" w:type="dxa"/>
          </w:tcPr>
          <w:p w14:paraId="630A1B4E"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Millennium Development Goals</w:t>
            </w:r>
          </w:p>
        </w:tc>
      </w:tr>
      <w:tr w:rsidR="00000D56" w:rsidRPr="00000D56" w14:paraId="58BBA9AA" w14:textId="77777777" w:rsidTr="00F80773">
        <w:tc>
          <w:tcPr>
            <w:tcW w:w="2093" w:type="dxa"/>
          </w:tcPr>
          <w:p w14:paraId="75CADFD8"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MOE</w:t>
            </w:r>
          </w:p>
        </w:tc>
        <w:tc>
          <w:tcPr>
            <w:tcW w:w="7149" w:type="dxa"/>
          </w:tcPr>
          <w:p w14:paraId="02FA55D6"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Ministry of Education</w:t>
            </w:r>
          </w:p>
        </w:tc>
      </w:tr>
      <w:tr w:rsidR="00000D56" w:rsidRPr="00000D56" w14:paraId="67041C51" w14:textId="77777777" w:rsidTr="00F80773">
        <w:tc>
          <w:tcPr>
            <w:tcW w:w="2093" w:type="dxa"/>
          </w:tcPr>
          <w:p w14:paraId="3268BE12"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MOESP</w:t>
            </w:r>
          </w:p>
        </w:tc>
        <w:tc>
          <w:tcPr>
            <w:tcW w:w="7149" w:type="dxa"/>
          </w:tcPr>
          <w:p w14:paraId="775084D0"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Ministry of Education Strategic Plan</w:t>
            </w:r>
          </w:p>
        </w:tc>
      </w:tr>
      <w:tr w:rsidR="00000D56" w:rsidRPr="00000D56" w14:paraId="472EFAFE" w14:textId="77777777" w:rsidTr="00F80773">
        <w:tc>
          <w:tcPr>
            <w:tcW w:w="2093" w:type="dxa"/>
          </w:tcPr>
          <w:p w14:paraId="23BF39E7"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MTEF</w:t>
            </w:r>
          </w:p>
        </w:tc>
        <w:tc>
          <w:tcPr>
            <w:tcW w:w="7149" w:type="dxa"/>
          </w:tcPr>
          <w:p w14:paraId="7A1D0AA9"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Medium Term Expenditure Framework</w:t>
            </w:r>
          </w:p>
        </w:tc>
      </w:tr>
      <w:tr w:rsidR="00000D56" w:rsidRPr="00000D56" w14:paraId="5ECF883A" w14:textId="77777777" w:rsidTr="00F80773">
        <w:tc>
          <w:tcPr>
            <w:tcW w:w="2093" w:type="dxa"/>
          </w:tcPr>
          <w:p w14:paraId="705FB704"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NER</w:t>
            </w:r>
          </w:p>
        </w:tc>
        <w:tc>
          <w:tcPr>
            <w:tcW w:w="7149" w:type="dxa"/>
          </w:tcPr>
          <w:p w14:paraId="22FCFF01"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Net Enrollment Ratio</w:t>
            </w:r>
          </w:p>
        </w:tc>
      </w:tr>
      <w:tr w:rsidR="00000D56" w:rsidRPr="00000D56" w14:paraId="3847429F" w14:textId="77777777" w:rsidTr="00F80773">
        <w:tc>
          <w:tcPr>
            <w:tcW w:w="2093" w:type="dxa"/>
          </w:tcPr>
          <w:p w14:paraId="5AAA021E"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NIF</w:t>
            </w:r>
          </w:p>
        </w:tc>
        <w:tc>
          <w:tcPr>
            <w:tcW w:w="7149" w:type="dxa"/>
          </w:tcPr>
          <w:p w14:paraId="47202C10"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National Implementation Framework</w:t>
            </w:r>
          </w:p>
        </w:tc>
      </w:tr>
      <w:tr w:rsidR="00000D56" w:rsidRPr="00000D56" w14:paraId="478A00B8" w14:textId="77777777" w:rsidTr="00F80773">
        <w:tc>
          <w:tcPr>
            <w:tcW w:w="2093" w:type="dxa"/>
          </w:tcPr>
          <w:p w14:paraId="20D39B51"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UN</w:t>
            </w:r>
          </w:p>
        </w:tc>
        <w:tc>
          <w:tcPr>
            <w:tcW w:w="7149" w:type="dxa"/>
          </w:tcPr>
          <w:p w14:paraId="70FA25D3"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United Nations</w:t>
            </w:r>
          </w:p>
        </w:tc>
      </w:tr>
      <w:tr w:rsidR="00000D56" w:rsidRPr="00000D56" w14:paraId="41D2C3CF" w14:textId="77777777" w:rsidTr="00F80773">
        <w:tc>
          <w:tcPr>
            <w:tcW w:w="2093" w:type="dxa"/>
          </w:tcPr>
          <w:p w14:paraId="144A706F"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UNDP</w:t>
            </w:r>
          </w:p>
        </w:tc>
        <w:tc>
          <w:tcPr>
            <w:tcW w:w="7149" w:type="dxa"/>
          </w:tcPr>
          <w:p w14:paraId="06C800C9"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UN Development Programme</w:t>
            </w:r>
          </w:p>
        </w:tc>
      </w:tr>
      <w:tr w:rsidR="00000D56" w:rsidRPr="00000D56" w14:paraId="3FFE2857" w14:textId="77777777" w:rsidTr="00F80773">
        <w:tc>
          <w:tcPr>
            <w:tcW w:w="2093" w:type="dxa"/>
          </w:tcPr>
          <w:p w14:paraId="4DAEBD28"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UNESCO</w:t>
            </w:r>
          </w:p>
        </w:tc>
        <w:tc>
          <w:tcPr>
            <w:tcW w:w="7149" w:type="dxa"/>
          </w:tcPr>
          <w:p w14:paraId="439B8305"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UN Educational, Scientific and Cultural Organization</w:t>
            </w:r>
          </w:p>
        </w:tc>
      </w:tr>
      <w:tr w:rsidR="00000D56" w:rsidRPr="00000D56" w14:paraId="3888A860" w14:textId="77777777" w:rsidTr="00F80773">
        <w:tc>
          <w:tcPr>
            <w:tcW w:w="2093" w:type="dxa"/>
          </w:tcPr>
          <w:p w14:paraId="145E5D10"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UNICEF</w:t>
            </w:r>
          </w:p>
        </w:tc>
        <w:tc>
          <w:tcPr>
            <w:tcW w:w="7149" w:type="dxa"/>
          </w:tcPr>
          <w:p w14:paraId="0324DEEC"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UN Children’s Fund</w:t>
            </w:r>
          </w:p>
        </w:tc>
      </w:tr>
      <w:tr w:rsidR="00000D56" w:rsidRPr="00000D56" w14:paraId="3FE96FF4" w14:textId="77777777" w:rsidTr="00F80773">
        <w:tc>
          <w:tcPr>
            <w:tcW w:w="2093" w:type="dxa"/>
          </w:tcPr>
          <w:p w14:paraId="6DB03DE5"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ZANEC</w:t>
            </w:r>
          </w:p>
        </w:tc>
        <w:tc>
          <w:tcPr>
            <w:tcW w:w="7149" w:type="dxa"/>
          </w:tcPr>
          <w:p w14:paraId="1D4374ED" w14:textId="77777777" w:rsidR="00000D56" w:rsidRPr="00000D56" w:rsidRDefault="00000D56" w:rsidP="00F80773">
            <w:pPr>
              <w:rPr>
                <w:rFonts w:ascii="Times New Roman" w:hAnsi="Times New Roman" w:cs="Times New Roman"/>
                <w:lang w:val="en-US"/>
              </w:rPr>
            </w:pPr>
            <w:r w:rsidRPr="00000D56">
              <w:rPr>
                <w:rFonts w:ascii="Times New Roman" w:hAnsi="Times New Roman" w:cs="Times New Roman"/>
                <w:lang w:val="en-US"/>
              </w:rPr>
              <w:t>Zambia National Education Coalition</w:t>
            </w:r>
          </w:p>
        </w:tc>
      </w:tr>
    </w:tbl>
    <w:p w14:paraId="45634DE0" w14:textId="3350834B" w:rsidR="00F80773" w:rsidRDefault="00F80773" w:rsidP="00770712">
      <w:pPr>
        <w:rPr>
          <w:rFonts w:ascii="Times New Roman" w:eastAsiaTheme="majorEastAsia" w:hAnsi="Times New Roman" w:cs="Times New Roman"/>
          <w:color w:val="2E74B5" w:themeColor="accent1" w:themeShade="BF"/>
          <w:sz w:val="26"/>
          <w:szCs w:val="26"/>
          <w:lang w:val="en-US"/>
        </w:rPr>
      </w:pPr>
      <w:r>
        <w:rPr>
          <w:rFonts w:ascii="Times New Roman" w:eastAsiaTheme="majorEastAsia" w:hAnsi="Times New Roman" w:cs="Times New Roman"/>
          <w:color w:val="2E74B5" w:themeColor="accent1" w:themeShade="BF"/>
          <w:sz w:val="26"/>
          <w:szCs w:val="26"/>
          <w:lang w:val="en-US"/>
        </w:rPr>
        <w:br w:type="page"/>
      </w:r>
    </w:p>
    <w:p w14:paraId="61318B60" w14:textId="77777777" w:rsidR="00336CAD" w:rsidRPr="00BA706E" w:rsidRDefault="00336CAD" w:rsidP="00336CAD">
      <w:pPr>
        <w:keepNext/>
        <w:keepLines/>
        <w:spacing w:before="40" w:after="0"/>
        <w:outlineLvl w:val="1"/>
        <w:rPr>
          <w:rFonts w:ascii="Times New Roman" w:eastAsiaTheme="majorEastAsia" w:hAnsi="Times New Roman" w:cs="Times New Roman"/>
          <w:color w:val="2E74B5" w:themeColor="accent1" w:themeShade="BF"/>
          <w:sz w:val="26"/>
          <w:szCs w:val="26"/>
          <w:lang w:val="en-US"/>
        </w:rPr>
      </w:pPr>
      <w:bookmarkStart w:id="2" w:name="_Toc458687336"/>
      <w:r w:rsidRPr="00336CAD">
        <w:rPr>
          <w:rFonts w:ascii="Times New Roman" w:eastAsiaTheme="majorEastAsia" w:hAnsi="Times New Roman" w:cs="Times New Roman"/>
          <w:color w:val="2E74B5" w:themeColor="accent1" w:themeShade="BF"/>
          <w:sz w:val="26"/>
          <w:szCs w:val="26"/>
          <w:lang w:val="en-US"/>
        </w:rPr>
        <w:lastRenderedPageBreak/>
        <w:t>Executive Summary</w:t>
      </w:r>
      <w:bookmarkEnd w:id="2"/>
      <w:r w:rsidRPr="00336CAD">
        <w:rPr>
          <w:rFonts w:ascii="Times New Roman" w:eastAsiaTheme="majorEastAsia" w:hAnsi="Times New Roman" w:cs="Times New Roman"/>
          <w:color w:val="2E74B5" w:themeColor="accent1" w:themeShade="BF"/>
          <w:sz w:val="26"/>
          <w:szCs w:val="26"/>
          <w:lang w:val="en-US"/>
        </w:rPr>
        <w:t xml:space="preserve"> </w:t>
      </w:r>
    </w:p>
    <w:p w14:paraId="44BCD6EA" w14:textId="77777777" w:rsidR="00336CAD" w:rsidRPr="00BA706E" w:rsidRDefault="00336CAD" w:rsidP="00336CAD">
      <w:pPr>
        <w:autoSpaceDE w:val="0"/>
        <w:autoSpaceDN w:val="0"/>
        <w:adjustRightInd w:val="0"/>
        <w:spacing w:after="0" w:line="360" w:lineRule="auto"/>
        <w:jc w:val="both"/>
        <w:rPr>
          <w:rFonts w:ascii="Times New Roman" w:hAnsi="Times New Roman" w:cs="Times New Roman"/>
          <w:b/>
          <w:sz w:val="24"/>
          <w:szCs w:val="24"/>
          <w:lang w:val="en-US"/>
        </w:rPr>
      </w:pPr>
    </w:p>
    <w:p w14:paraId="1B8D9E36" w14:textId="77777777" w:rsidR="00336CAD" w:rsidRPr="00BA706E" w:rsidRDefault="00336CAD" w:rsidP="00336CAD">
      <w:pPr>
        <w:spacing w:before="120" w:after="12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The purpose of the study</w:t>
      </w:r>
      <w:r w:rsidRPr="00BA706E">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was to analyse</w:t>
      </w:r>
      <w:r w:rsidRPr="00BA706E">
        <w:rPr>
          <w:rFonts w:ascii="Times New Roman" w:eastAsia="Times New Roman" w:hAnsi="Times New Roman" w:cs="Times New Roman"/>
          <w:color w:val="000000"/>
        </w:rPr>
        <w:t xml:space="preserve"> current trends in progress towards achieving full enrolment, retention and quality </w:t>
      </w:r>
      <w:r>
        <w:rPr>
          <w:rFonts w:ascii="Times New Roman" w:eastAsia="Times New Roman" w:hAnsi="Times New Roman" w:cs="Times New Roman"/>
          <w:color w:val="000000"/>
        </w:rPr>
        <w:t>education in Zambia and examine</w:t>
      </w:r>
      <w:r w:rsidRPr="00BA706E">
        <w:rPr>
          <w:rFonts w:ascii="Times New Roman" w:eastAsia="Times New Roman" w:hAnsi="Times New Roman" w:cs="Times New Roman"/>
          <w:color w:val="000000"/>
        </w:rPr>
        <w:t xml:space="preserve"> the situation of domestic ed</w:t>
      </w:r>
      <w:r>
        <w:rPr>
          <w:rFonts w:ascii="Times New Roman" w:eastAsia="Times New Roman" w:hAnsi="Times New Roman" w:cs="Times New Roman"/>
          <w:color w:val="000000"/>
        </w:rPr>
        <w:t>ucation financing. This was in order to identify</w:t>
      </w:r>
      <w:r w:rsidRPr="00BA706E">
        <w:rPr>
          <w:rFonts w:ascii="Times New Roman" w:eastAsia="Times New Roman" w:hAnsi="Times New Roman" w:cs="Times New Roman"/>
          <w:color w:val="000000"/>
        </w:rPr>
        <w:t xml:space="preserve"> education gaps and </w:t>
      </w:r>
      <w:r>
        <w:rPr>
          <w:rFonts w:ascii="Times New Roman" w:eastAsia="Times New Roman" w:hAnsi="Times New Roman" w:cs="Times New Roman"/>
          <w:color w:val="000000"/>
        </w:rPr>
        <w:t xml:space="preserve">financing </w:t>
      </w:r>
      <w:r w:rsidRPr="00BA706E">
        <w:rPr>
          <w:rFonts w:ascii="Times New Roman" w:eastAsia="Times New Roman" w:hAnsi="Times New Roman" w:cs="Times New Roman"/>
          <w:color w:val="000000"/>
        </w:rPr>
        <w:t>opportunities</w:t>
      </w:r>
      <w:r>
        <w:rPr>
          <w:rFonts w:ascii="Times New Roman" w:eastAsia="Times New Roman" w:hAnsi="Times New Roman" w:cs="Times New Roman"/>
          <w:color w:val="000000"/>
        </w:rPr>
        <w:t xml:space="preserve"> and constraints</w:t>
      </w:r>
      <w:r w:rsidRPr="00BA706E">
        <w:rPr>
          <w:rFonts w:ascii="Times New Roman" w:eastAsia="Times New Roman" w:hAnsi="Times New Roman" w:cs="Times New Roman"/>
          <w:color w:val="000000"/>
        </w:rPr>
        <w:t xml:space="preserve"> that need to be carefully considered for optimising domestic revenue mobilisation towards inclusive quality education beyond 2015.</w:t>
      </w:r>
      <w:r>
        <w:rPr>
          <w:rFonts w:ascii="Times New Roman" w:eastAsia="Times New Roman" w:hAnsi="Times New Roman" w:cs="Times New Roman"/>
          <w:color w:val="000000"/>
        </w:rPr>
        <w:t xml:space="preserve"> The reference period for the study was 1990 to 2014 for the analysis related to education gaps while the focus of the analysis on domestic education financing was the period 2010 to 2014. This was the period of implementation of the Education for All (EFA) Plan of Action and the Millennium Development Goals (MDGs).</w:t>
      </w:r>
    </w:p>
    <w:p w14:paraId="22FB30DF" w14:textId="6CBF9334" w:rsidR="00336CAD" w:rsidRDefault="00336CAD" w:rsidP="00336CAD">
      <w:pPr>
        <w:spacing w:before="120" w:after="12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The research</w:t>
      </w:r>
      <w:r w:rsidRPr="00BA706E">
        <w:rPr>
          <w:rFonts w:ascii="Times New Roman" w:eastAsia="Times New Roman" w:hAnsi="Times New Roman" w:cs="Times New Roman"/>
          <w:color w:val="000000"/>
        </w:rPr>
        <w:t xml:space="preserve"> found that major educational infrastructural investment programmes embar</w:t>
      </w:r>
      <w:r w:rsidR="00024A4E">
        <w:rPr>
          <w:rFonts w:ascii="Times New Roman" w:eastAsia="Times New Roman" w:hAnsi="Times New Roman" w:cs="Times New Roman"/>
          <w:color w:val="000000"/>
        </w:rPr>
        <w:t xml:space="preserve">ked on since the mid-1990s </w:t>
      </w:r>
      <w:r w:rsidRPr="00BA706E">
        <w:rPr>
          <w:rFonts w:ascii="Times New Roman" w:eastAsia="Times New Roman" w:hAnsi="Times New Roman" w:cs="Times New Roman"/>
          <w:color w:val="000000"/>
        </w:rPr>
        <w:t>significantly improved the numbers of those attending basic level (primary and junior secondary) education.</w:t>
      </w:r>
      <w:r>
        <w:rPr>
          <w:rFonts w:ascii="Times New Roman" w:eastAsia="Times New Roman" w:hAnsi="Times New Roman" w:cs="Times New Roman"/>
          <w:color w:val="000000"/>
        </w:rPr>
        <w:t xml:space="preserve"> The absolute number of students in primary education more than doubled between 2000 and 2014, increasing from 1.6 million in 2000 to 3.7 million in 2014. The Net Enrolment Ratio in primary education increased from 80 percent in 1990 to 94.3 percent in 2014 while the proportion of pupils reaching grade 7 increased from 64 percent in 1990 to 86.2 percent in 2014.</w:t>
      </w:r>
      <w:r w:rsidRPr="00BA706E">
        <w:rPr>
          <w:rFonts w:ascii="Times New Roman" w:eastAsia="Times New Roman" w:hAnsi="Times New Roman" w:cs="Times New Roman"/>
          <w:color w:val="000000"/>
        </w:rPr>
        <w:t xml:space="preserve"> </w:t>
      </w:r>
    </w:p>
    <w:p w14:paraId="198E97C8" w14:textId="4FB69BA0" w:rsidR="00336CAD" w:rsidRPr="00BA706E" w:rsidRDefault="00336CAD" w:rsidP="00336CAD">
      <w:pPr>
        <w:spacing w:before="120" w:after="120" w:line="360" w:lineRule="auto"/>
        <w:jc w:val="both"/>
        <w:rPr>
          <w:rFonts w:ascii="Times New Roman" w:eastAsia="Times New Roman" w:hAnsi="Times New Roman" w:cs="Times New Roman"/>
          <w:color w:val="000000"/>
        </w:rPr>
      </w:pPr>
      <w:r w:rsidRPr="00BA706E">
        <w:rPr>
          <w:rFonts w:ascii="Times New Roman" w:eastAsia="Times New Roman" w:hAnsi="Times New Roman" w:cs="Times New Roman"/>
          <w:color w:val="000000"/>
        </w:rPr>
        <w:t>However, iss</w:t>
      </w:r>
      <w:r>
        <w:rPr>
          <w:rFonts w:ascii="Times New Roman" w:eastAsia="Times New Roman" w:hAnsi="Times New Roman" w:cs="Times New Roman"/>
          <w:color w:val="000000"/>
        </w:rPr>
        <w:t>ues of quality of education did not receive</w:t>
      </w:r>
      <w:r w:rsidRPr="00BA706E">
        <w:rPr>
          <w:rFonts w:ascii="Times New Roman" w:eastAsia="Times New Roman" w:hAnsi="Times New Roman" w:cs="Times New Roman"/>
          <w:color w:val="000000"/>
        </w:rPr>
        <w:t xml:space="preserve"> much attention. Overcrowding in classrooms and high pupil-teacher ratios persist</w:t>
      </w:r>
      <w:r w:rsidR="00E56B79">
        <w:rPr>
          <w:rFonts w:ascii="Times New Roman" w:eastAsia="Times New Roman" w:hAnsi="Times New Roman" w:cs="Times New Roman"/>
          <w:color w:val="000000"/>
        </w:rPr>
        <w:t>ed</w:t>
      </w:r>
      <w:r w:rsidRPr="00BA706E">
        <w:rPr>
          <w:rFonts w:ascii="Times New Roman" w:eastAsia="Times New Roman" w:hAnsi="Times New Roman" w:cs="Times New Roman"/>
          <w:color w:val="000000"/>
        </w:rPr>
        <w:t xml:space="preserve">. The sustainability of the free </w:t>
      </w:r>
      <w:r>
        <w:rPr>
          <w:rFonts w:ascii="Times New Roman" w:eastAsia="Times New Roman" w:hAnsi="Times New Roman" w:cs="Times New Roman"/>
          <w:color w:val="000000"/>
        </w:rPr>
        <w:t>primary education policy remain</w:t>
      </w:r>
      <w:r w:rsidR="00E56B79">
        <w:rPr>
          <w:rFonts w:ascii="Times New Roman" w:eastAsia="Times New Roman" w:hAnsi="Times New Roman" w:cs="Times New Roman"/>
          <w:color w:val="000000"/>
        </w:rPr>
        <w:t>ed</w:t>
      </w:r>
      <w:r w:rsidRPr="00BA706E">
        <w:rPr>
          <w:rFonts w:ascii="Times New Roman" w:eastAsia="Times New Roman" w:hAnsi="Times New Roman" w:cs="Times New Roman"/>
          <w:color w:val="000000"/>
        </w:rPr>
        <w:t xml:space="preserve"> questionable</w:t>
      </w:r>
      <w:r w:rsidR="00E56B79">
        <w:rPr>
          <w:rFonts w:ascii="Times New Roman" w:eastAsia="Times New Roman" w:hAnsi="Times New Roman" w:cs="Times New Roman"/>
          <w:color w:val="000000"/>
        </w:rPr>
        <w:t xml:space="preserve"> due to associated operating costs at school level while post-basic education appear </w:t>
      </w:r>
      <w:r w:rsidRPr="00BA706E">
        <w:rPr>
          <w:rFonts w:ascii="Times New Roman" w:eastAsia="Times New Roman" w:hAnsi="Times New Roman" w:cs="Times New Roman"/>
          <w:color w:val="000000"/>
        </w:rPr>
        <w:t>not</w:t>
      </w:r>
      <w:r w:rsidR="00E56B79">
        <w:rPr>
          <w:rFonts w:ascii="Times New Roman" w:eastAsia="Times New Roman" w:hAnsi="Times New Roman" w:cs="Times New Roman"/>
          <w:color w:val="000000"/>
        </w:rPr>
        <w:t xml:space="preserve"> to have</w:t>
      </w:r>
      <w:r w:rsidRPr="00BA706E">
        <w:rPr>
          <w:rFonts w:ascii="Times New Roman" w:eastAsia="Times New Roman" w:hAnsi="Times New Roman" w:cs="Times New Roman"/>
          <w:color w:val="000000"/>
        </w:rPr>
        <w:t xml:space="preserve"> received the </w:t>
      </w:r>
      <w:r w:rsidR="00E56B79">
        <w:rPr>
          <w:rFonts w:ascii="Times New Roman" w:eastAsia="Times New Roman" w:hAnsi="Times New Roman" w:cs="Times New Roman"/>
          <w:color w:val="000000"/>
        </w:rPr>
        <w:t xml:space="preserve">necessary </w:t>
      </w:r>
      <w:r w:rsidRPr="00BA706E">
        <w:rPr>
          <w:rFonts w:ascii="Times New Roman" w:eastAsia="Times New Roman" w:hAnsi="Times New Roman" w:cs="Times New Roman"/>
          <w:color w:val="000000"/>
        </w:rPr>
        <w:t>attention required in terms of expansion, rehabilitation, educational material support and curriculum review. Achievements in pupil performance</w:t>
      </w:r>
      <w:r>
        <w:rPr>
          <w:rFonts w:ascii="Times New Roman" w:eastAsia="Times New Roman" w:hAnsi="Times New Roman" w:cs="Times New Roman"/>
          <w:color w:val="000000"/>
        </w:rPr>
        <w:t xml:space="preserve"> also</w:t>
      </w:r>
      <w:r w:rsidRPr="00BA706E">
        <w:rPr>
          <w:rFonts w:ascii="Times New Roman" w:eastAsia="Times New Roman" w:hAnsi="Times New Roman" w:cs="Times New Roman"/>
          <w:color w:val="000000"/>
        </w:rPr>
        <w:t xml:space="preserve"> remain</w:t>
      </w:r>
      <w:r>
        <w:rPr>
          <w:rFonts w:ascii="Times New Roman" w:eastAsia="Times New Roman" w:hAnsi="Times New Roman" w:cs="Times New Roman"/>
          <w:color w:val="000000"/>
        </w:rPr>
        <w:t>ed</w:t>
      </w:r>
      <w:r w:rsidRPr="00BA706E">
        <w:rPr>
          <w:rFonts w:ascii="Times New Roman" w:eastAsia="Times New Roman" w:hAnsi="Times New Roman" w:cs="Times New Roman"/>
          <w:color w:val="000000"/>
        </w:rPr>
        <w:t xml:space="preserve"> low</w:t>
      </w:r>
      <w:r>
        <w:rPr>
          <w:rFonts w:ascii="Times New Roman" w:eastAsia="Times New Roman" w:hAnsi="Times New Roman" w:cs="Times New Roman"/>
          <w:color w:val="000000"/>
        </w:rPr>
        <w:t>,</w:t>
      </w:r>
      <w:r w:rsidRPr="00BA706E">
        <w:rPr>
          <w:rFonts w:ascii="Times New Roman" w:eastAsia="Times New Roman" w:hAnsi="Times New Roman" w:cs="Times New Roman"/>
          <w:color w:val="000000"/>
        </w:rPr>
        <w:t xml:space="preserve"> particularly in readi</w:t>
      </w:r>
      <w:r>
        <w:rPr>
          <w:rFonts w:ascii="Times New Roman" w:eastAsia="Times New Roman" w:hAnsi="Times New Roman" w:cs="Times New Roman"/>
          <w:color w:val="000000"/>
        </w:rPr>
        <w:t>n</w:t>
      </w:r>
      <w:r w:rsidR="00E56B79">
        <w:rPr>
          <w:rFonts w:ascii="Times New Roman" w:eastAsia="Times New Roman" w:hAnsi="Times New Roman" w:cs="Times New Roman"/>
          <w:color w:val="000000"/>
        </w:rPr>
        <w:t>g and mathematics while there continued to be persistent</w:t>
      </w:r>
      <w:r w:rsidRPr="00BA706E">
        <w:rPr>
          <w:rFonts w:ascii="Times New Roman" w:eastAsia="Times New Roman" w:hAnsi="Times New Roman" w:cs="Times New Roman"/>
          <w:color w:val="000000"/>
        </w:rPr>
        <w:t xml:space="preserve"> mismatch</w:t>
      </w:r>
      <w:r w:rsidR="00E56B79">
        <w:rPr>
          <w:rFonts w:ascii="Times New Roman" w:eastAsia="Times New Roman" w:hAnsi="Times New Roman" w:cs="Times New Roman"/>
          <w:color w:val="000000"/>
        </w:rPr>
        <w:t>es</w:t>
      </w:r>
      <w:r w:rsidRPr="00BA706E">
        <w:rPr>
          <w:rFonts w:ascii="Times New Roman" w:eastAsia="Times New Roman" w:hAnsi="Times New Roman" w:cs="Times New Roman"/>
          <w:color w:val="000000"/>
        </w:rPr>
        <w:t xml:space="preserve"> between the skills coming out of the education system and the needs of the labour market. Gen</w:t>
      </w:r>
      <w:r w:rsidR="00E56B79">
        <w:rPr>
          <w:rFonts w:ascii="Times New Roman" w:eastAsia="Times New Roman" w:hAnsi="Times New Roman" w:cs="Times New Roman"/>
          <w:color w:val="000000"/>
        </w:rPr>
        <w:t>der gaps while almost eliminated at primary level continued to</w:t>
      </w:r>
      <w:r w:rsidRPr="00BA706E">
        <w:rPr>
          <w:rFonts w:ascii="Times New Roman" w:eastAsia="Times New Roman" w:hAnsi="Times New Roman" w:cs="Times New Roman"/>
          <w:color w:val="000000"/>
        </w:rPr>
        <w:t xml:space="preserve"> exi</w:t>
      </w:r>
      <w:r w:rsidR="00E56B79">
        <w:rPr>
          <w:rFonts w:ascii="Times New Roman" w:eastAsia="Times New Roman" w:hAnsi="Times New Roman" w:cs="Times New Roman"/>
          <w:color w:val="000000"/>
        </w:rPr>
        <w:t>st at post-primary school level urging the need for sustained efforts.</w:t>
      </w:r>
    </w:p>
    <w:p w14:paraId="0E61930D" w14:textId="674A4CE6" w:rsidR="00336CAD" w:rsidRPr="00BA706E" w:rsidRDefault="00336CAD" w:rsidP="00336CAD">
      <w:pPr>
        <w:spacing w:after="200" w:line="360" w:lineRule="auto"/>
        <w:contextualSpacing/>
        <w:jc w:val="both"/>
        <w:rPr>
          <w:rFonts w:ascii="Times New Roman" w:hAnsi="Times New Roman" w:cs="Times New Roman"/>
        </w:rPr>
      </w:pPr>
      <w:r w:rsidRPr="00BA706E">
        <w:rPr>
          <w:rFonts w:ascii="Times New Roman" w:hAnsi="Times New Roman" w:cs="Times New Roman"/>
        </w:rPr>
        <w:t>On financing, it was found that the allocation to the education function remained in the region of 18 percent f</w:t>
      </w:r>
      <w:r w:rsidR="009551B2">
        <w:rPr>
          <w:rFonts w:ascii="Times New Roman" w:hAnsi="Times New Roman" w:cs="Times New Roman"/>
        </w:rPr>
        <w:t>or the period 2010-2014 which fell</w:t>
      </w:r>
      <w:r w:rsidRPr="00BA706E">
        <w:rPr>
          <w:rFonts w:ascii="Times New Roman" w:hAnsi="Times New Roman" w:cs="Times New Roman"/>
        </w:rPr>
        <w:t xml:space="preserve"> short of the Education for All Fast Track Initiative(EFA-FTI) that prescribe a benchmark of at least 20 percent of the total expenditure budget to be allocated to the educational sector. An outstanding concern with respect to allocat</w:t>
      </w:r>
      <w:r w:rsidR="009551B2">
        <w:rPr>
          <w:rFonts w:ascii="Times New Roman" w:hAnsi="Times New Roman" w:cs="Times New Roman"/>
        </w:rPr>
        <w:t>ion to the education function was that much of the</w:t>
      </w:r>
      <w:r w:rsidRPr="00BA706E">
        <w:rPr>
          <w:rFonts w:ascii="Times New Roman" w:hAnsi="Times New Roman" w:cs="Times New Roman"/>
        </w:rPr>
        <w:t xml:space="preserve"> resources were, in real terms, concentrated on the first two-tiers of education i.e. primary education and secondary school. Early child development and </w:t>
      </w:r>
      <w:r>
        <w:rPr>
          <w:rFonts w:ascii="Times New Roman" w:hAnsi="Times New Roman" w:cs="Times New Roman"/>
        </w:rPr>
        <w:t xml:space="preserve">tertiary </w:t>
      </w:r>
      <w:r w:rsidR="00024A4E">
        <w:rPr>
          <w:rFonts w:ascii="Times New Roman" w:hAnsi="Times New Roman" w:cs="Times New Roman"/>
        </w:rPr>
        <w:t xml:space="preserve">education sectors were not </w:t>
      </w:r>
      <w:r w:rsidRPr="00BA706E">
        <w:rPr>
          <w:rFonts w:ascii="Times New Roman" w:hAnsi="Times New Roman" w:cs="Times New Roman"/>
        </w:rPr>
        <w:t xml:space="preserve">prioritised. </w:t>
      </w:r>
      <w:r w:rsidR="00024A4E">
        <w:rPr>
          <w:rFonts w:ascii="Times New Roman" w:hAnsi="Times New Roman" w:cs="Times New Roman"/>
        </w:rPr>
        <w:t>T</w:t>
      </w:r>
      <w:r w:rsidRPr="00BA706E">
        <w:rPr>
          <w:rFonts w:ascii="Times New Roman" w:hAnsi="Times New Roman" w:cs="Times New Roman"/>
        </w:rPr>
        <w:t>he funding role of Government in skills development and early childhood development remained rather on the weak side throughout the EFA/MDG reference period.  A related concern was the o</w:t>
      </w:r>
      <w:r w:rsidR="00A119EF">
        <w:rPr>
          <w:rFonts w:ascii="Times New Roman" w:hAnsi="Times New Roman" w:cs="Times New Roman"/>
        </w:rPr>
        <w:t>bserved variance between allocations and actual disbursements</w:t>
      </w:r>
      <w:r w:rsidRPr="00BA706E">
        <w:rPr>
          <w:rFonts w:ascii="Times New Roman" w:hAnsi="Times New Roman" w:cs="Times New Roman"/>
        </w:rPr>
        <w:t xml:space="preserve"> to </w:t>
      </w:r>
      <w:r w:rsidR="00A119EF">
        <w:rPr>
          <w:rFonts w:ascii="Times New Roman" w:hAnsi="Times New Roman" w:cs="Times New Roman"/>
        </w:rPr>
        <w:t xml:space="preserve">the </w:t>
      </w:r>
      <w:r w:rsidRPr="00BA706E">
        <w:rPr>
          <w:rFonts w:ascii="Times New Roman" w:hAnsi="Times New Roman" w:cs="Times New Roman"/>
        </w:rPr>
        <w:t>education</w:t>
      </w:r>
      <w:r w:rsidR="00A119EF">
        <w:rPr>
          <w:rFonts w:ascii="Times New Roman" w:hAnsi="Times New Roman" w:cs="Times New Roman"/>
        </w:rPr>
        <w:t xml:space="preserve"> sector</w:t>
      </w:r>
      <w:r w:rsidRPr="00BA706E">
        <w:rPr>
          <w:rFonts w:ascii="Times New Roman" w:hAnsi="Times New Roman" w:cs="Times New Roman"/>
        </w:rPr>
        <w:t>. It was found that actual outturns on expenditures on education</w:t>
      </w:r>
      <w:r w:rsidR="00A119EF">
        <w:rPr>
          <w:rFonts w:ascii="Times New Roman" w:hAnsi="Times New Roman" w:cs="Times New Roman"/>
        </w:rPr>
        <w:t xml:space="preserve"> during the reference period (2010-2014) were </w:t>
      </w:r>
      <w:r w:rsidRPr="00BA706E">
        <w:rPr>
          <w:rFonts w:ascii="Times New Roman" w:hAnsi="Times New Roman" w:cs="Times New Roman"/>
        </w:rPr>
        <w:t>less than</w:t>
      </w:r>
      <w:r w:rsidR="00A119EF">
        <w:rPr>
          <w:rFonts w:ascii="Times New Roman" w:hAnsi="Times New Roman" w:cs="Times New Roman"/>
        </w:rPr>
        <w:t xml:space="preserve"> the budget profiles approved</w:t>
      </w:r>
      <w:r w:rsidRPr="00BA706E">
        <w:rPr>
          <w:rFonts w:ascii="Times New Roman" w:hAnsi="Times New Roman" w:cs="Times New Roman"/>
        </w:rPr>
        <w:t xml:space="preserve">. </w:t>
      </w:r>
    </w:p>
    <w:p w14:paraId="50530076" w14:textId="77777777" w:rsidR="00336CAD" w:rsidRPr="00BA706E" w:rsidRDefault="00336CAD" w:rsidP="00336CAD">
      <w:pPr>
        <w:spacing w:after="200" w:line="360" w:lineRule="auto"/>
        <w:contextualSpacing/>
        <w:jc w:val="both"/>
        <w:rPr>
          <w:rFonts w:ascii="Times New Roman" w:hAnsi="Times New Roman" w:cs="Times New Roman"/>
        </w:rPr>
      </w:pPr>
    </w:p>
    <w:p w14:paraId="01B40E87" w14:textId="3F559517" w:rsidR="00A119EF" w:rsidRDefault="00A119EF" w:rsidP="00336CAD">
      <w:pPr>
        <w:spacing w:before="120" w:after="120" w:line="360" w:lineRule="auto"/>
        <w:jc w:val="both"/>
        <w:rPr>
          <w:rFonts w:ascii="Times New Roman" w:hAnsi="Times New Roman" w:cs="Times New Roman"/>
        </w:rPr>
      </w:pPr>
      <w:r>
        <w:rPr>
          <w:rFonts w:ascii="Times New Roman" w:hAnsi="Times New Roman" w:cs="Times New Roman"/>
        </w:rPr>
        <w:t>The report makes the contention that i</w:t>
      </w:r>
      <w:r w:rsidR="00336CAD" w:rsidRPr="00BA706E">
        <w:rPr>
          <w:rFonts w:ascii="Times New Roman" w:hAnsi="Times New Roman" w:cs="Times New Roman"/>
        </w:rPr>
        <w:t>mprovements in national revenue collection would benefit the e</w:t>
      </w:r>
      <w:r>
        <w:rPr>
          <w:rFonts w:ascii="Times New Roman" w:hAnsi="Times New Roman" w:cs="Times New Roman"/>
        </w:rPr>
        <w:t>ducation sector as more resources</w:t>
      </w:r>
      <w:r w:rsidR="00336CAD" w:rsidRPr="00BA706E">
        <w:rPr>
          <w:rFonts w:ascii="Times New Roman" w:hAnsi="Times New Roman" w:cs="Times New Roman"/>
        </w:rPr>
        <w:t xml:space="preserve"> w</w:t>
      </w:r>
      <w:r>
        <w:rPr>
          <w:rFonts w:ascii="Times New Roman" w:hAnsi="Times New Roman" w:cs="Times New Roman"/>
        </w:rPr>
        <w:t>ould be available for educational financing</w:t>
      </w:r>
      <w:r w:rsidR="00336CAD" w:rsidRPr="00BA706E">
        <w:rPr>
          <w:rFonts w:ascii="Times New Roman" w:hAnsi="Times New Roman" w:cs="Times New Roman"/>
        </w:rPr>
        <w:t xml:space="preserve">. </w:t>
      </w:r>
      <w:r>
        <w:rPr>
          <w:rFonts w:ascii="Times New Roman" w:hAnsi="Times New Roman" w:cs="Times New Roman"/>
        </w:rPr>
        <w:t xml:space="preserve">To this end, </w:t>
      </w:r>
      <w:r w:rsidR="00336CAD" w:rsidRPr="00BA706E">
        <w:rPr>
          <w:rFonts w:ascii="Times New Roman" w:hAnsi="Times New Roman" w:cs="Times New Roman"/>
        </w:rPr>
        <w:t xml:space="preserve">Government will need to put in place mechanisms (some very basic, others more innovative) to expand its tax base. </w:t>
      </w:r>
      <w:r w:rsidR="00336CAD">
        <w:rPr>
          <w:rFonts w:ascii="Times New Roman" w:hAnsi="Times New Roman" w:cs="Times New Roman"/>
        </w:rPr>
        <w:t>It was observed that a</w:t>
      </w:r>
      <w:r w:rsidR="00336CAD" w:rsidRPr="00BA706E">
        <w:rPr>
          <w:rFonts w:ascii="Times New Roman" w:hAnsi="Times New Roman" w:cs="Times New Roman"/>
        </w:rPr>
        <w:t xml:space="preserve"> lot of tax goes uncollected especially in the informal sectors. Concessions extended to large scale investors would need to be reviewed so as to ensure that the net effect is not merely a loss in tax revenue. The mining </w:t>
      </w:r>
      <w:r w:rsidR="00336CAD">
        <w:rPr>
          <w:rFonts w:ascii="Times New Roman" w:hAnsi="Times New Roman" w:cs="Times New Roman"/>
        </w:rPr>
        <w:t>sector stood</w:t>
      </w:r>
      <w:r>
        <w:rPr>
          <w:rFonts w:ascii="Times New Roman" w:hAnsi="Times New Roman" w:cs="Times New Roman"/>
        </w:rPr>
        <w:t xml:space="preserve"> out as one that needed</w:t>
      </w:r>
      <w:r w:rsidR="00336CAD" w:rsidRPr="00BA706E">
        <w:rPr>
          <w:rFonts w:ascii="Times New Roman" w:hAnsi="Times New Roman" w:cs="Times New Roman"/>
        </w:rPr>
        <w:t xml:space="preserve"> specific attention </w:t>
      </w:r>
      <w:r>
        <w:rPr>
          <w:rFonts w:ascii="Times New Roman" w:hAnsi="Times New Roman" w:cs="Times New Roman"/>
        </w:rPr>
        <w:t xml:space="preserve">to harness its potential for revenue generation. </w:t>
      </w:r>
    </w:p>
    <w:p w14:paraId="0D12572C" w14:textId="77777777" w:rsidR="00A119EF" w:rsidRPr="00BA706E" w:rsidRDefault="00A119EF" w:rsidP="00336CAD">
      <w:pPr>
        <w:spacing w:before="120" w:after="120" w:line="360" w:lineRule="auto"/>
        <w:jc w:val="both"/>
        <w:rPr>
          <w:rFonts w:ascii="Times New Roman" w:hAnsi="Times New Roman" w:cs="Times New Roman"/>
        </w:rPr>
      </w:pPr>
    </w:p>
    <w:p w14:paraId="55133F81" w14:textId="77777777" w:rsidR="00336CAD" w:rsidRPr="00910706" w:rsidRDefault="00336CAD" w:rsidP="00336CAD">
      <w:pPr>
        <w:rPr>
          <w:rFonts w:ascii="Times New Roman" w:hAnsi="Times New Roman" w:cs="Times New Roman"/>
          <w:b/>
          <w:lang w:val="en-US"/>
        </w:rPr>
      </w:pPr>
      <w:r w:rsidRPr="00910706">
        <w:rPr>
          <w:rFonts w:ascii="Times New Roman" w:hAnsi="Times New Roman" w:cs="Times New Roman"/>
          <w:b/>
          <w:lang w:val="en-US"/>
        </w:rPr>
        <w:t>Recommendations</w:t>
      </w:r>
    </w:p>
    <w:p w14:paraId="5E781320" w14:textId="77777777" w:rsidR="00336CAD" w:rsidRPr="00BA706E" w:rsidRDefault="00336CAD" w:rsidP="00336CAD">
      <w:pPr>
        <w:autoSpaceDE w:val="0"/>
        <w:autoSpaceDN w:val="0"/>
        <w:adjustRightInd w:val="0"/>
        <w:spacing w:after="0" w:line="360" w:lineRule="auto"/>
        <w:jc w:val="both"/>
        <w:rPr>
          <w:rFonts w:ascii="Times New Roman" w:hAnsi="Times New Roman" w:cs="Times New Roman"/>
          <w:sz w:val="24"/>
          <w:szCs w:val="24"/>
          <w:lang w:val="en-US"/>
        </w:rPr>
      </w:pPr>
      <w:r w:rsidRPr="00910706">
        <w:rPr>
          <w:rFonts w:ascii="Times New Roman" w:hAnsi="Times New Roman" w:cs="Times New Roman"/>
          <w:sz w:val="24"/>
          <w:szCs w:val="24"/>
          <w:lang w:val="en-US"/>
        </w:rPr>
        <w:t>On the basis of the key findings, the following recommendations were made:</w:t>
      </w:r>
    </w:p>
    <w:p w14:paraId="3F82959B" w14:textId="77777777" w:rsidR="00336CAD" w:rsidRPr="00BA706E" w:rsidRDefault="00336CAD" w:rsidP="00336CAD">
      <w:pPr>
        <w:autoSpaceDE w:val="0"/>
        <w:autoSpaceDN w:val="0"/>
        <w:adjustRightInd w:val="0"/>
        <w:spacing w:after="0" w:line="360" w:lineRule="auto"/>
        <w:jc w:val="both"/>
        <w:rPr>
          <w:rFonts w:ascii="Times New Roman" w:hAnsi="Times New Roman" w:cs="Times New Roman"/>
          <w:b/>
          <w:sz w:val="24"/>
          <w:szCs w:val="24"/>
          <w:lang w:val="en-US"/>
        </w:rPr>
      </w:pPr>
      <w:r w:rsidRPr="00BA706E">
        <w:rPr>
          <w:rFonts w:ascii="Times New Roman" w:hAnsi="Times New Roman" w:cs="Times New Roman"/>
          <w:b/>
          <w:sz w:val="24"/>
          <w:szCs w:val="24"/>
          <w:lang w:val="en-US"/>
        </w:rPr>
        <w:t>1.  Education gaps</w:t>
      </w:r>
    </w:p>
    <w:p w14:paraId="0FB23321" w14:textId="77777777" w:rsidR="00336CAD" w:rsidRPr="00BA706E" w:rsidRDefault="00336CAD" w:rsidP="00336CAD">
      <w:pPr>
        <w:numPr>
          <w:ilvl w:val="0"/>
          <w:numId w:val="9"/>
        </w:numPr>
        <w:autoSpaceDE w:val="0"/>
        <w:autoSpaceDN w:val="0"/>
        <w:adjustRightInd w:val="0"/>
        <w:spacing w:after="0" w:line="360" w:lineRule="auto"/>
        <w:contextualSpacing/>
        <w:jc w:val="both"/>
        <w:rPr>
          <w:rFonts w:ascii="Times New Roman" w:hAnsi="Times New Roman" w:cs="Times New Roman"/>
          <w:b/>
          <w:sz w:val="24"/>
          <w:szCs w:val="24"/>
        </w:rPr>
      </w:pPr>
      <w:r w:rsidRPr="00BA706E">
        <w:rPr>
          <w:rFonts w:ascii="Times New Roman" w:hAnsi="Times New Roman" w:cs="Times New Roman"/>
          <w:b/>
          <w:sz w:val="24"/>
          <w:szCs w:val="24"/>
        </w:rPr>
        <w:t>Balanced Approach</w:t>
      </w:r>
    </w:p>
    <w:p w14:paraId="426027F8" w14:textId="77777777" w:rsidR="00336CAD" w:rsidRPr="00BA706E" w:rsidRDefault="00336CAD" w:rsidP="00336CAD">
      <w:pPr>
        <w:autoSpaceDE w:val="0"/>
        <w:autoSpaceDN w:val="0"/>
        <w:adjustRightInd w:val="0"/>
        <w:spacing w:after="0" w:line="360" w:lineRule="auto"/>
        <w:jc w:val="both"/>
        <w:rPr>
          <w:rFonts w:ascii="Times New Roman" w:hAnsi="Times New Roman" w:cs="Times New Roman"/>
          <w:sz w:val="24"/>
          <w:szCs w:val="24"/>
        </w:rPr>
      </w:pPr>
      <w:r w:rsidRPr="00BA706E">
        <w:rPr>
          <w:rFonts w:ascii="Times New Roman" w:hAnsi="Times New Roman" w:cs="Times New Roman"/>
          <w:sz w:val="24"/>
          <w:szCs w:val="24"/>
        </w:rPr>
        <w:t xml:space="preserve">To further improve the Grade 7 completion rate, government needs to secure greater balance between interventions that focus on improving educational access and gender parity in enrolment, on the one hand, and those that address retention and completion rates, on the other. </w:t>
      </w:r>
    </w:p>
    <w:p w14:paraId="7DEA2AA9" w14:textId="77777777" w:rsidR="00336CAD" w:rsidRPr="00BA706E" w:rsidRDefault="00336CAD" w:rsidP="00336CAD">
      <w:pPr>
        <w:numPr>
          <w:ilvl w:val="0"/>
          <w:numId w:val="9"/>
        </w:numPr>
        <w:autoSpaceDE w:val="0"/>
        <w:autoSpaceDN w:val="0"/>
        <w:adjustRightInd w:val="0"/>
        <w:spacing w:after="0" w:line="360" w:lineRule="auto"/>
        <w:contextualSpacing/>
        <w:jc w:val="both"/>
        <w:rPr>
          <w:rFonts w:ascii="Times New Roman" w:hAnsi="Times New Roman" w:cs="Times New Roman"/>
          <w:b/>
          <w:sz w:val="24"/>
          <w:szCs w:val="24"/>
        </w:rPr>
      </w:pPr>
      <w:r w:rsidRPr="00BA706E">
        <w:rPr>
          <w:rFonts w:ascii="Times New Roman" w:hAnsi="Times New Roman" w:cs="Times New Roman"/>
          <w:b/>
          <w:sz w:val="24"/>
          <w:szCs w:val="24"/>
        </w:rPr>
        <w:t>More investments in secondary and post-secondary school infrastructure</w:t>
      </w:r>
    </w:p>
    <w:p w14:paraId="1B737FDF" w14:textId="054FDBD1" w:rsidR="00336CAD" w:rsidRPr="00BA706E" w:rsidRDefault="00336CAD" w:rsidP="00336CAD">
      <w:pPr>
        <w:autoSpaceDE w:val="0"/>
        <w:autoSpaceDN w:val="0"/>
        <w:adjustRightInd w:val="0"/>
        <w:spacing w:after="0" w:line="360" w:lineRule="auto"/>
        <w:jc w:val="both"/>
        <w:rPr>
          <w:rFonts w:ascii="Times New Roman" w:hAnsi="Times New Roman" w:cs="Times New Roman"/>
          <w:b/>
          <w:sz w:val="24"/>
          <w:szCs w:val="24"/>
          <w:lang w:val="en-US"/>
        </w:rPr>
      </w:pPr>
      <w:r w:rsidRPr="00BA706E">
        <w:rPr>
          <w:rFonts w:ascii="Times New Roman" w:hAnsi="Times New Roman" w:cs="Times New Roman"/>
          <w:sz w:val="24"/>
          <w:szCs w:val="24"/>
        </w:rPr>
        <w:t>Although the completion rate for Grade 12 has been improving rapidly since 2009, primarily due to major improvements in school infrastructure, it is still very low. Enhancing this will require massive investments in the construction of secondary and post-secondary educational facilities, and higher recurrent budgets for the provision of books, lab</w:t>
      </w:r>
      <w:r w:rsidR="00FA4BFA">
        <w:rPr>
          <w:rFonts w:ascii="Times New Roman" w:hAnsi="Times New Roman" w:cs="Times New Roman"/>
          <w:sz w:val="24"/>
          <w:szCs w:val="24"/>
        </w:rPr>
        <w:t>oratory</w:t>
      </w:r>
      <w:r w:rsidRPr="00BA706E">
        <w:rPr>
          <w:rFonts w:ascii="Times New Roman" w:hAnsi="Times New Roman" w:cs="Times New Roman"/>
          <w:sz w:val="24"/>
          <w:szCs w:val="24"/>
        </w:rPr>
        <w:t xml:space="preserve"> and computer equipment. </w:t>
      </w:r>
    </w:p>
    <w:p w14:paraId="38FD45D6" w14:textId="77777777" w:rsidR="00336CAD" w:rsidRPr="00BA706E" w:rsidRDefault="00336CAD" w:rsidP="00336CAD">
      <w:pPr>
        <w:numPr>
          <w:ilvl w:val="0"/>
          <w:numId w:val="9"/>
        </w:numPr>
        <w:autoSpaceDE w:val="0"/>
        <w:autoSpaceDN w:val="0"/>
        <w:adjustRightInd w:val="0"/>
        <w:spacing w:after="0" w:line="360" w:lineRule="auto"/>
        <w:contextualSpacing/>
        <w:jc w:val="both"/>
        <w:rPr>
          <w:rFonts w:ascii="Times New Roman" w:hAnsi="Times New Roman" w:cs="Times New Roman"/>
          <w:b/>
          <w:sz w:val="24"/>
          <w:szCs w:val="24"/>
        </w:rPr>
      </w:pPr>
      <w:r w:rsidRPr="00BA706E">
        <w:rPr>
          <w:rFonts w:ascii="Times New Roman" w:hAnsi="Times New Roman" w:cs="Times New Roman"/>
          <w:b/>
          <w:sz w:val="24"/>
          <w:szCs w:val="24"/>
        </w:rPr>
        <w:t>Quality of Education</w:t>
      </w:r>
    </w:p>
    <w:p w14:paraId="676CE294" w14:textId="15B9FF5E" w:rsidR="00336CAD" w:rsidRPr="00BA706E" w:rsidRDefault="00336CAD" w:rsidP="00336CAD">
      <w:pPr>
        <w:autoSpaceDE w:val="0"/>
        <w:autoSpaceDN w:val="0"/>
        <w:adjustRightInd w:val="0"/>
        <w:spacing w:after="0" w:line="360" w:lineRule="auto"/>
        <w:jc w:val="both"/>
        <w:rPr>
          <w:rFonts w:ascii="Times New Roman" w:hAnsi="Times New Roman" w:cs="Times New Roman"/>
          <w:b/>
          <w:sz w:val="24"/>
          <w:szCs w:val="24"/>
          <w:lang w:val="en-US"/>
        </w:rPr>
      </w:pPr>
      <w:r w:rsidRPr="00BA706E">
        <w:rPr>
          <w:rFonts w:ascii="Times New Roman" w:hAnsi="Times New Roman" w:cs="Times New Roman"/>
          <w:sz w:val="24"/>
          <w:szCs w:val="24"/>
        </w:rPr>
        <w:t>Quantitative improvements in education outcomes, while necessary, are not sufficient. Improved enrolment and progression rates should be accompanied by quality teaching staff and upgraded school facilities to improve the overall quality of education</w:t>
      </w:r>
      <w:r w:rsidR="00FA4BFA">
        <w:rPr>
          <w:rFonts w:ascii="Times New Roman" w:hAnsi="Times New Roman" w:cs="Times New Roman"/>
          <w:sz w:val="24"/>
          <w:szCs w:val="24"/>
        </w:rPr>
        <w:t xml:space="preserve">. </w:t>
      </w:r>
    </w:p>
    <w:p w14:paraId="573D3EAD" w14:textId="77777777" w:rsidR="00336CAD" w:rsidRPr="00BA706E" w:rsidRDefault="00336CAD" w:rsidP="00336CAD">
      <w:pPr>
        <w:numPr>
          <w:ilvl w:val="0"/>
          <w:numId w:val="9"/>
        </w:numPr>
        <w:autoSpaceDE w:val="0"/>
        <w:autoSpaceDN w:val="0"/>
        <w:adjustRightInd w:val="0"/>
        <w:spacing w:after="0" w:line="360" w:lineRule="auto"/>
        <w:contextualSpacing/>
        <w:jc w:val="both"/>
        <w:rPr>
          <w:rFonts w:ascii="Times New Roman" w:hAnsi="Times New Roman" w:cs="Times New Roman"/>
          <w:b/>
          <w:sz w:val="24"/>
          <w:szCs w:val="24"/>
        </w:rPr>
      </w:pPr>
      <w:r w:rsidRPr="00BA706E">
        <w:rPr>
          <w:rFonts w:ascii="Times New Roman" w:hAnsi="Times New Roman" w:cs="Times New Roman"/>
          <w:b/>
          <w:sz w:val="24"/>
          <w:szCs w:val="24"/>
        </w:rPr>
        <w:t>Youth Illiteracy</w:t>
      </w:r>
    </w:p>
    <w:p w14:paraId="639A56CD" w14:textId="77777777" w:rsidR="00336CAD" w:rsidRPr="00BA706E" w:rsidRDefault="00336CAD" w:rsidP="00336CAD">
      <w:pPr>
        <w:autoSpaceDE w:val="0"/>
        <w:autoSpaceDN w:val="0"/>
        <w:adjustRightInd w:val="0"/>
        <w:spacing w:after="0" w:line="360" w:lineRule="auto"/>
        <w:jc w:val="both"/>
        <w:rPr>
          <w:rFonts w:ascii="Times New Roman" w:hAnsi="Times New Roman" w:cs="Times New Roman"/>
          <w:b/>
          <w:sz w:val="24"/>
          <w:szCs w:val="24"/>
          <w:lang w:val="en-US"/>
        </w:rPr>
      </w:pPr>
      <w:r w:rsidRPr="00BA706E">
        <w:rPr>
          <w:rFonts w:ascii="Times New Roman" w:hAnsi="Times New Roman" w:cs="Times New Roman"/>
          <w:sz w:val="24"/>
          <w:szCs w:val="24"/>
        </w:rPr>
        <w:t>To address illiteracy and skills development, government must work with its stakeholders and partners, including civil society organizations, private sector, academia and parent-teacher associations in pursuing policies and programmes that improve youth literacy rates, especially for females. Civil society has experience in designing flexible programmes for specific community groups, lobbying for the interests of vulnerable populations and monitoring performance. The private sector has a particular interest in an educated workforce and must be encouraged to offer more apprenticeship programmes, as well as workplace literacy and skills development</w:t>
      </w:r>
    </w:p>
    <w:p w14:paraId="3300DC27" w14:textId="77777777" w:rsidR="00336CAD" w:rsidRPr="00BA706E" w:rsidRDefault="00336CAD" w:rsidP="00336CAD">
      <w:pPr>
        <w:numPr>
          <w:ilvl w:val="0"/>
          <w:numId w:val="9"/>
        </w:numPr>
        <w:autoSpaceDE w:val="0"/>
        <w:autoSpaceDN w:val="0"/>
        <w:adjustRightInd w:val="0"/>
        <w:spacing w:after="0" w:line="360" w:lineRule="auto"/>
        <w:contextualSpacing/>
        <w:jc w:val="both"/>
        <w:rPr>
          <w:rFonts w:ascii="Times New Roman" w:hAnsi="Times New Roman" w:cs="Times New Roman"/>
          <w:b/>
          <w:sz w:val="24"/>
          <w:szCs w:val="24"/>
          <w:lang w:val="en-US"/>
        </w:rPr>
      </w:pPr>
      <w:r w:rsidRPr="00BA706E">
        <w:rPr>
          <w:rFonts w:ascii="Times New Roman" w:hAnsi="Times New Roman" w:cs="Times New Roman"/>
          <w:b/>
          <w:sz w:val="24"/>
          <w:szCs w:val="24"/>
          <w:lang w:val="en-US"/>
        </w:rPr>
        <w:t>Higher Education</w:t>
      </w:r>
    </w:p>
    <w:p w14:paraId="430A8A4D" w14:textId="77777777" w:rsidR="00336CAD" w:rsidRPr="00BA706E" w:rsidRDefault="00336CAD" w:rsidP="00336CAD">
      <w:pPr>
        <w:autoSpaceDE w:val="0"/>
        <w:autoSpaceDN w:val="0"/>
        <w:adjustRightInd w:val="0"/>
        <w:spacing w:after="0" w:line="360" w:lineRule="auto"/>
        <w:jc w:val="both"/>
        <w:rPr>
          <w:rFonts w:ascii="Times New Roman" w:hAnsi="Times New Roman" w:cs="Times New Roman"/>
          <w:b/>
          <w:sz w:val="24"/>
          <w:szCs w:val="24"/>
          <w:lang w:val="en-US"/>
        </w:rPr>
      </w:pPr>
      <w:r w:rsidRPr="00BA706E">
        <w:rPr>
          <w:rFonts w:ascii="Times New Roman" w:hAnsi="Times New Roman" w:cs="Times New Roman"/>
          <w:sz w:val="24"/>
          <w:szCs w:val="24"/>
        </w:rPr>
        <w:t>To address the skills mismatch, Government must focus</w:t>
      </w:r>
      <w:r>
        <w:rPr>
          <w:rFonts w:ascii="Times New Roman" w:hAnsi="Times New Roman" w:cs="Times New Roman"/>
          <w:sz w:val="24"/>
          <w:szCs w:val="24"/>
        </w:rPr>
        <w:t xml:space="preserve"> increased attention on higher education</w:t>
      </w:r>
      <w:r w:rsidRPr="00BA706E">
        <w:rPr>
          <w:rFonts w:ascii="Times New Roman" w:hAnsi="Times New Roman" w:cs="Times New Roman"/>
          <w:sz w:val="24"/>
          <w:szCs w:val="24"/>
        </w:rPr>
        <w:t xml:space="preserve">. </w:t>
      </w:r>
    </w:p>
    <w:p w14:paraId="0668866A" w14:textId="77777777" w:rsidR="00336CAD" w:rsidRPr="00BA706E" w:rsidRDefault="00336CAD" w:rsidP="00336CAD">
      <w:pPr>
        <w:numPr>
          <w:ilvl w:val="0"/>
          <w:numId w:val="9"/>
        </w:numPr>
        <w:autoSpaceDE w:val="0"/>
        <w:autoSpaceDN w:val="0"/>
        <w:adjustRightInd w:val="0"/>
        <w:spacing w:after="0" w:line="360" w:lineRule="auto"/>
        <w:contextualSpacing/>
        <w:jc w:val="both"/>
        <w:rPr>
          <w:rFonts w:ascii="Times New Roman" w:hAnsi="Times New Roman" w:cs="Times New Roman"/>
          <w:b/>
          <w:sz w:val="24"/>
          <w:szCs w:val="24"/>
        </w:rPr>
      </w:pPr>
      <w:r w:rsidRPr="00BA706E">
        <w:rPr>
          <w:rFonts w:ascii="Times New Roman" w:hAnsi="Times New Roman" w:cs="Times New Roman"/>
          <w:b/>
          <w:sz w:val="24"/>
          <w:szCs w:val="24"/>
        </w:rPr>
        <w:t xml:space="preserve">Quality and use of monitoring information </w:t>
      </w:r>
    </w:p>
    <w:p w14:paraId="72F94D32" w14:textId="24A015E5" w:rsidR="00336CAD" w:rsidRDefault="00336CAD" w:rsidP="00336CAD">
      <w:pPr>
        <w:autoSpaceDE w:val="0"/>
        <w:autoSpaceDN w:val="0"/>
        <w:adjustRightInd w:val="0"/>
        <w:spacing w:after="0" w:line="360" w:lineRule="auto"/>
        <w:jc w:val="both"/>
        <w:rPr>
          <w:rFonts w:ascii="Times New Roman" w:hAnsi="Times New Roman" w:cs="Times New Roman"/>
          <w:sz w:val="24"/>
          <w:szCs w:val="24"/>
          <w:lang w:val="en-US"/>
        </w:rPr>
      </w:pPr>
      <w:r w:rsidRPr="00BA706E">
        <w:rPr>
          <w:rFonts w:ascii="Times New Roman" w:hAnsi="Times New Roman" w:cs="Times New Roman"/>
          <w:sz w:val="24"/>
          <w:szCs w:val="24"/>
          <w:lang w:val="en-US"/>
        </w:rPr>
        <w:t>The monitoring and evaluation functions need to be further expanded in order to become instruments for the improvement of the quality of educat</w:t>
      </w:r>
      <w:r>
        <w:rPr>
          <w:rFonts w:ascii="Times New Roman" w:hAnsi="Times New Roman" w:cs="Times New Roman"/>
          <w:sz w:val="24"/>
          <w:szCs w:val="24"/>
          <w:lang w:val="en-US"/>
        </w:rPr>
        <w:t>ion</w:t>
      </w:r>
      <w:r w:rsidRPr="00BA706E">
        <w:rPr>
          <w:rFonts w:ascii="Times New Roman" w:hAnsi="Times New Roman" w:cs="Times New Roman"/>
          <w:sz w:val="24"/>
          <w:szCs w:val="24"/>
          <w:lang w:val="en-US"/>
        </w:rPr>
        <w:t xml:space="preserve">. In this regard, monitoring and evaluation functions need to be expanded in order to become instruments for the improvement of the quality of education. Information provided by the annual school census needs to be </w:t>
      </w:r>
      <w:r>
        <w:rPr>
          <w:rFonts w:ascii="Times New Roman" w:hAnsi="Times New Roman" w:cs="Times New Roman"/>
          <w:sz w:val="24"/>
          <w:szCs w:val="24"/>
          <w:lang w:val="en-US"/>
        </w:rPr>
        <w:t>linked with information from the Examination Council of Zambia</w:t>
      </w:r>
      <w:r w:rsidRPr="00BA706E">
        <w:rPr>
          <w:rFonts w:ascii="Times New Roman" w:hAnsi="Times New Roman" w:cs="Times New Roman"/>
          <w:sz w:val="24"/>
          <w:szCs w:val="24"/>
          <w:lang w:val="en-US"/>
        </w:rPr>
        <w:t xml:space="preserve">. At the district level, the </w:t>
      </w:r>
      <w:r>
        <w:rPr>
          <w:rFonts w:ascii="Times New Roman" w:hAnsi="Times New Roman" w:cs="Times New Roman"/>
          <w:sz w:val="24"/>
          <w:szCs w:val="24"/>
          <w:lang w:val="en-US"/>
        </w:rPr>
        <w:t>results of inspections must</w:t>
      </w:r>
      <w:r w:rsidRPr="00BA706E">
        <w:rPr>
          <w:rFonts w:ascii="Times New Roman" w:hAnsi="Times New Roman" w:cs="Times New Roman"/>
          <w:sz w:val="24"/>
          <w:szCs w:val="24"/>
          <w:lang w:val="en-US"/>
        </w:rPr>
        <w:t xml:space="preserve"> be computerised and linked to </w:t>
      </w:r>
      <w:r w:rsidR="00FA4BFA">
        <w:rPr>
          <w:rFonts w:ascii="Times New Roman" w:hAnsi="Times New Roman" w:cs="Times New Roman"/>
          <w:sz w:val="24"/>
          <w:szCs w:val="24"/>
          <w:lang w:val="en-US"/>
        </w:rPr>
        <w:t>the education management information system (</w:t>
      </w:r>
      <w:r w:rsidRPr="00BA706E">
        <w:rPr>
          <w:rFonts w:ascii="Times New Roman" w:hAnsi="Times New Roman" w:cs="Times New Roman"/>
          <w:sz w:val="24"/>
          <w:szCs w:val="24"/>
          <w:lang w:val="en-US"/>
        </w:rPr>
        <w:t>EMIS</w:t>
      </w:r>
      <w:r w:rsidR="00FA4BFA">
        <w:rPr>
          <w:rFonts w:ascii="Times New Roman" w:hAnsi="Times New Roman" w:cs="Times New Roman"/>
          <w:sz w:val="24"/>
          <w:szCs w:val="24"/>
          <w:lang w:val="en-US"/>
        </w:rPr>
        <w:t>)</w:t>
      </w:r>
      <w:r w:rsidRPr="00BA706E">
        <w:rPr>
          <w:rFonts w:ascii="Times New Roman" w:hAnsi="Times New Roman" w:cs="Times New Roman"/>
          <w:sz w:val="24"/>
          <w:szCs w:val="24"/>
          <w:lang w:val="en-US"/>
        </w:rPr>
        <w:t xml:space="preserve"> data. The evaluation capacity of the Directorate for Planning and Information needs to be strengthened and in order to fill existing gaps, the EMIS capturing of information must be extended to private institutions.</w:t>
      </w:r>
    </w:p>
    <w:p w14:paraId="61137C4F" w14:textId="77777777" w:rsidR="00336CAD" w:rsidRPr="00BA706E" w:rsidRDefault="00336CAD" w:rsidP="00336CAD">
      <w:pPr>
        <w:autoSpaceDE w:val="0"/>
        <w:autoSpaceDN w:val="0"/>
        <w:adjustRightInd w:val="0"/>
        <w:spacing w:after="0" w:line="360" w:lineRule="auto"/>
        <w:jc w:val="both"/>
        <w:rPr>
          <w:rFonts w:ascii="Times New Roman" w:hAnsi="Times New Roman" w:cs="Times New Roman"/>
          <w:sz w:val="24"/>
          <w:szCs w:val="24"/>
          <w:lang w:val="en-US"/>
        </w:rPr>
      </w:pPr>
    </w:p>
    <w:p w14:paraId="4394DA5C" w14:textId="77777777" w:rsidR="00336CAD" w:rsidRPr="00BA706E" w:rsidRDefault="00336CAD" w:rsidP="00336CAD">
      <w:pPr>
        <w:numPr>
          <w:ilvl w:val="0"/>
          <w:numId w:val="9"/>
        </w:numPr>
        <w:autoSpaceDE w:val="0"/>
        <w:autoSpaceDN w:val="0"/>
        <w:adjustRightInd w:val="0"/>
        <w:spacing w:after="0" w:line="360" w:lineRule="auto"/>
        <w:contextualSpacing/>
        <w:rPr>
          <w:rFonts w:ascii="Times New Roman" w:eastAsia="MyriadPro-Regular" w:hAnsi="Times New Roman" w:cs="Times New Roman"/>
          <w:b/>
          <w:sz w:val="24"/>
          <w:szCs w:val="24"/>
        </w:rPr>
      </w:pPr>
      <w:r w:rsidRPr="00BA706E">
        <w:rPr>
          <w:rFonts w:ascii="Times New Roman" w:eastAsia="MyriadPro-Regular" w:hAnsi="Times New Roman" w:cs="Times New Roman"/>
          <w:b/>
          <w:sz w:val="24"/>
          <w:szCs w:val="24"/>
        </w:rPr>
        <w:t>Working in partnership with CSOs</w:t>
      </w:r>
    </w:p>
    <w:p w14:paraId="4089D855" w14:textId="77777777" w:rsidR="00336CAD" w:rsidRDefault="00336CAD" w:rsidP="00336CAD">
      <w:pPr>
        <w:autoSpaceDE w:val="0"/>
        <w:autoSpaceDN w:val="0"/>
        <w:adjustRightInd w:val="0"/>
        <w:spacing w:after="0" w:line="360" w:lineRule="auto"/>
        <w:jc w:val="both"/>
        <w:rPr>
          <w:rFonts w:ascii="Times New Roman" w:eastAsia="MyriadPro-Regular" w:hAnsi="Times New Roman" w:cs="Times New Roman"/>
          <w:sz w:val="24"/>
          <w:szCs w:val="24"/>
          <w:lang w:val="en-US"/>
        </w:rPr>
      </w:pPr>
      <w:r w:rsidRPr="00BA706E">
        <w:rPr>
          <w:rFonts w:ascii="Times New Roman" w:eastAsia="MyriadPro-Regular" w:hAnsi="Times New Roman" w:cs="Times New Roman"/>
          <w:sz w:val="24"/>
          <w:szCs w:val="24"/>
          <w:lang w:val="en-US"/>
        </w:rPr>
        <w:t>To address illiteracy, government must work with its stakeh</w:t>
      </w:r>
      <w:r>
        <w:rPr>
          <w:rFonts w:ascii="Times New Roman" w:eastAsia="MyriadPro-Regular" w:hAnsi="Times New Roman" w:cs="Times New Roman"/>
          <w:sz w:val="24"/>
          <w:szCs w:val="24"/>
          <w:lang w:val="en-US"/>
        </w:rPr>
        <w:t>olders and partners, including Civil Society O</w:t>
      </w:r>
      <w:r w:rsidRPr="00BA706E">
        <w:rPr>
          <w:rFonts w:ascii="Times New Roman" w:eastAsia="MyriadPro-Regular" w:hAnsi="Times New Roman" w:cs="Times New Roman"/>
          <w:sz w:val="24"/>
          <w:szCs w:val="24"/>
          <w:lang w:val="en-US"/>
        </w:rPr>
        <w:t>rganizations, private sector, academia and parent-teacher associations in pursuing policies and programmes that improve youth literacy rates, especially for females. Civil society has experience in designing flexible programmes for specific community groups, lobbying for the interests of vulnerable populations and monitoring performance. The private sector has a particular interest in an educated workforce and must be encouraged to offer more apprenticeship programmes, as well as workplace literacy and skills development.</w:t>
      </w:r>
    </w:p>
    <w:p w14:paraId="2C74BE65" w14:textId="77777777" w:rsidR="00FA4BFA" w:rsidRPr="00BA706E" w:rsidRDefault="00FA4BFA" w:rsidP="00336CAD">
      <w:pPr>
        <w:autoSpaceDE w:val="0"/>
        <w:autoSpaceDN w:val="0"/>
        <w:adjustRightInd w:val="0"/>
        <w:spacing w:after="0" w:line="360" w:lineRule="auto"/>
        <w:jc w:val="both"/>
        <w:rPr>
          <w:rFonts w:ascii="Times New Roman" w:eastAsia="MyriadPro-Regular" w:hAnsi="Times New Roman" w:cs="Times New Roman"/>
          <w:sz w:val="24"/>
          <w:szCs w:val="24"/>
          <w:lang w:val="en-US"/>
        </w:rPr>
      </w:pPr>
    </w:p>
    <w:p w14:paraId="674BF487" w14:textId="77777777" w:rsidR="00336CAD" w:rsidRPr="00BA706E" w:rsidRDefault="00336CAD" w:rsidP="00336CAD">
      <w:pPr>
        <w:numPr>
          <w:ilvl w:val="0"/>
          <w:numId w:val="29"/>
        </w:numPr>
        <w:autoSpaceDE w:val="0"/>
        <w:autoSpaceDN w:val="0"/>
        <w:adjustRightInd w:val="0"/>
        <w:spacing w:after="0" w:line="360" w:lineRule="auto"/>
        <w:ind w:left="360"/>
        <w:contextualSpacing/>
        <w:jc w:val="both"/>
        <w:rPr>
          <w:rFonts w:ascii="Times New Roman" w:hAnsi="Times New Roman" w:cs="Times New Roman"/>
          <w:b/>
          <w:sz w:val="24"/>
          <w:szCs w:val="24"/>
        </w:rPr>
      </w:pPr>
      <w:r w:rsidRPr="00BA706E">
        <w:rPr>
          <w:rFonts w:ascii="Times New Roman" w:hAnsi="Times New Roman" w:cs="Times New Roman"/>
          <w:b/>
          <w:sz w:val="24"/>
          <w:szCs w:val="24"/>
        </w:rPr>
        <w:t>Domestic financing</w:t>
      </w:r>
    </w:p>
    <w:p w14:paraId="67F0C77E" w14:textId="77777777" w:rsidR="00336CAD" w:rsidRPr="00BA706E" w:rsidRDefault="00336CAD" w:rsidP="00336CAD">
      <w:pPr>
        <w:spacing w:line="360" w:lineRule="auto"/>
        <w:contextualSpacing/>
        <w:jc w:val="both"/>
        <w:rPr>
          <w:rFonts w:ascii="Times New Roman" w:hAnsi="Times New Roman" w:cs="Times New Roman"/>
        </w:rPr>
      </w:pPr>
      <w:r w:rsidRPr="00BA706E">
        <w:rPr>
          <w:rFonts w:ascii="Times New Roman" w:hAnsi="Times New Roman" w:cs="Times New Roman"/>
        </w:rPr>
        <w:t>The following measures would help improve revenue levels and make more resources available for quality inclusive education development:</w:t>
      </w:r>
    </w:p>
    <w:p w14:paraId="1B220E8F" w14:textId="77777777" w:rsidR="00336CAD" w:rsidRPr="00BA706E" w:rsidRDefault="00336CAD" w:rsidP="00336CAD">
      <w:pPr>
        <w:autoSpaceDE w:val="0"/>
        <w:autoSpaceDN w:val="0"/>
        <w:adjustRightInd w:val="0"/>
        <w:spacing w:after="0" w:line="240" w:lineRule="auto"/>
        <w:jc w:val="both"/>
        <w:rPr>
          <w:rFonts w:ascii="Times New Roman" w:hAnsi="Times New Roman" w:cs="Times New Roman"/>
        </w:rPr>
      </w:pPr>
    </w:p>
    <w:p w14:paraId="04953901" w14:textId="77777777" w:rsidR="00336CAD" w:rsidRPr="00BA706E" w:rsidRDefault="00336CAD" w:rsidP="00336CAD">
      <w:pPr>
        <w:numPr>
          <w:ilvl w:val="0"/>
          <w:numId w:val="8"/>
        </w:numPr>
        <w:autoSpaceDE w:val="0"/>
        <w:autoSpaceDN w:val="0"/>
        <w:adjustRightInd w:val="0"/>
        <w:spacing w:after="0" w:line="360" w:lineRule="auto"/>
        <w:ind w:left="714" w:hanging="357"/>
        <w:contextualSpacing/>
        <w:jc w:val="both"/>
        <w:rPr>
          <w:rFonts w:ascii="Times New Roman" w:hAnsi="Times New Roman" w:cs="Times New Roman"/>
        </w:rPr>
      </w:pPr>
      <w:r w:rsidRPr="00BA706E">
        <w:rPr>
          <w:rFonts w:ascii="Times New Roman" w:hAnsi="Times New Roman" w:cs="Times New Roman"/>
          <w:b/>
        </w:rPr>
        <w:t>Tapping into diaspora remittances</w:t>
      </w:r>
      <w:r w:rsidRPr="00BA706E">
        <w:rPr>
          <w:rFonts w:ascii="Times New Roman" w:hAnsi="Times New Roman" w:cs="Times New Roman"/>
        </w:rPr>
        <w:t>, this is an area that holds potential but is currently untapped in the Zambian case. Policy makers and the development community could explore ways to exploit this potential to leverage savings and investment in productive assets. However, more effort is needed to maximise their development impact, including by reducing their transmission costs and channelling remittances through national commercial banks to access additional finance.</w:t>
      </w:r>
    </w:p>
    <w:p w14:paraId="6BB87F8D" w14:textId="77777777" w:rsidR="00336CAD" w:rsidRPr="00BA706E" w:rsidRDefault="00336CAD" w:rsidP="00336CAD">
      <w:pPr>
        <w:autoSpaceDE w:val="0"/>
        <w:autoSpaceDN w:val="0"/>
        <w:adjustRightInd w:val="0"/>
        <w:spacing w:after="0" w:line="360" w:lineRule="auto"/>
        <w:ind w:left="714"/>
        <w:contextualSpacing/>
        <w:jc w:val="both"/>
        <w:rPr>
          <w:rFonts w:ascii="Times New Roman" w:hAnsi="Times New Roman" w:cs="Times New Roman"/>
        </w:rPr>
      </w:pPr>
    </w:p>
    <w:p w14:paraId="20023A29" w14:textId="77777777" w:rsidR="00336CAD" w:rsidRPr="00BA706E" w:rsidRDefault="00336CAD" w:rsidP="00336CAD">
      <w:pPr>
        <w:numPr>
          <w:ilvl w:val="0"/>
          <w:numId w:val="8"/>
        </w:numPr>
        <w:spacing w:line="360" w:lineRule="auto"/>
        <w:contextualSpacing/>
        <w:jc w:val="both"/>
        <w:rPr>
          <w:rFonts w:ascii="Times New Roman" w:hAnsi="Times New Roman" w:cs="Times New Roman"/>
        </w:rPr>
      </w:pPr>
      <w:r w:rsidRPr="00BA706E">
        <w:rPr>
          <w:rFonts w:ascii="Times New Roman" w:hAnsi="Times New Roman" w:cs="Times New Roman"/>
          <w:b/>
        </w:rPr>
        <w:t>Curbing illicit financial flows from Zambia</w:t>
      </w:r>
      <w:r w:rsidRPr="00BA706E">
        <w:rPr>
          <w:rFonts w:ascii="Times New Roman" w:hAnsi="Times New Roman" w:cs="Times New Roman"/>
        </w:rPr>
        <w:t>, which are estimated to have exceeded FDI and ODA at the continental level over the last decade, are a potential source of domestic resource mobilisation for the national economy. If curbed, they could free up resources to invest in public goods such as education.</w:t>
      </w:r>
    </w:p>
    <w:p w14:paraId="107E0D24" w14:textId="77777777" w:rsidR="00336CAD" w:rsidRPr="00BA706E" w:rsidRDefault="00336CAD" w:rsidP="00336CAD">
      <w:pPr>
        <w:ind w:left="720"/>
        <w:contextualSpacing/>
        <w:rPr>
          <w:rFonts w:ascii="Times New Roman" w:hAnsi="Times New Roman" w:cs="Times New Roman"/>
        </w:rPr>
      </w:pPr>
    </w:p>
    <w:p w14:paraId="4ECAD42D" w14:textId="77777777" w:rsidR="00336CAD" w:rsidRPr="00BA706E" w:rsidRDefault="00336CAD" w:rsidP="00336CAD">
      <w:pPr>
        <w:numPr>
          <w:ilvl w:val="0"/>
          <w:numId w:val="8"/>
        </w:numPr>
        <w:spacing w:line="360" w:lineRule="auto"/>
        <w:contextualSpacing/>
        <w:jc w:val="both"/>
        <w:rPr>
          <w:rFonts w:ascii="Times New Roman" w:hAnsi="Times New Roman" w:cs="Times New Roman"/>
        </w:rPr>
      </w:pPr>
      <w:r w:rsidRPr="00BA706E">
        <w:rPr>
          <w:rFonts w:ascii="Times New Roman" w:hAnsi="Times New Roman" w:cs="Times New Roman"/>
          <w:b/>
        </w:rPr>
        <w:t>Combating tax avoidance through improved monitoring capacity</w:t>
      </w:r>
      <w:r w:rsidRPr="00BA706E">
        <w:rPr>
          <w:rFonts w:ascii="Times New Roman" w:hAnsi="Times New Roman" w:cs="Times New Roman"/>
        </w:rPr>
        <w:t>. The combination of a huge informal sector, low levels of tax collection, high rates of tax evasion (low tax payer morale) and a weak tax administration all add to the challenge of fiscal reform for inclusive development. Zambia though a resource-rich countries lack the capacity to negotiate contracts, which would promote greater transparency and improve public revenue from the extractive sector. Abusive transfer pricing – the artificial movement of taxable profits from high-tax to low-tax jurisdictions – occurs on a substantial scale in Africa and there is every reason to believe it occurs in Zambia. The country should strengthen its monitoring capacity to combat tax avoidance in all its forms, particularly to curb strategies defined as “base erosion and profit shifting” (BEPS), which exploit gaps and mismatches in tax rules to shift profits for tax purposes.</w:t>
      </w:r>
    </w:p>
    <w:p w14:paraId="563AA1BB" w14:textId="77777777" w:rsidR="00336CAD" w:rsidRPr="00BA706E" w:rsidRDefault="00336CAD" w:rsidP="00336CAD">
      <w:pPr>
        <w:numPr>
          <w:ilvl w:val="0"/>
          <w:numId w:val="8"/>
        </w:numPr>
        <w:spacing w:line="360" w:lineRule="auto"/>
        <w:contextualSpacing/>
        <w:jc w:val="both"/>
        <w:rPr>
          <w:rFonts w:ascii="Times New Roman" w:hAnsi="Times New Roman" w:cs="Times New Roman"/>
        </w:rPr>
      </w:pPr>
      <w:r w:rsidRPr="00BA706E">
        <w:rPr>
          <w:rFonts w:ascii="Times New Roman" w:hAnsi="Times New Roman" w:cs="Times New Roman"/>
          <w:b/>
        </w:rPr>
        <w:t>Increasing the contribution of resource rent</w:t>
      </w:r>
      <w:r w:rsidRPr="00BA706E">
        <w:rPr>
          <w:rFonts w:ascii="Times New Roman" w:hAnsi="Times New Roman" w:cs="Times New Roman"/>
        </w:rPr>
        <w:t xml:space="preserve">, e.g., raising mineral royalty tax to realist levels. </w:t>
      </w:r>
    </w:p>
    <w:p w14:paraId="225B658B" w14:textId="77777777" w:rsidR="00336CAD" w:rsidRDefault="00336CAD" w:rsidP="00336CAD">
      <w:pPr>
        <w:numPr>
          <w:ilvl w:val="0"/>
          <w:numId w:val="8"/>
        </w:numPr>
        <w:spacing w:line="360" w:lineRule="auto"/>
        <w:contextualSpacing/>
        <w:jc w:val="both"/>
        <w:rPr>
          <w:rFonts w:ascii="Times New Roman" w:hAnsi="Times New Roman" w:cs="Times New Roman"/>
        </w:rPr>
      </w:pPr>
      <w:r w:rsidRPr="00BA706E">
        <w:rPr>
          <w:rFonts w:ascii="Times New Roman" w:hAnsi="Times New Roman" w:cs="Times New Roman"/>
          <w:b/>
        </w:rPr>
        <w:t>Implementing property tax to expand tax base</w:t>
      </w:r>
      <w:r w:rsidRPr="00BA706E">
        <w:rPr>
          <w:rFonts w:ascii="Times New Roman" w:hAnsi="Times New Roman" w:cs="Times New Roman"/>
        </w:rPr>
        <w:t>, particularly to capture informal sector incomes.</w:t>
      </w:r>
    </w:p>
    <w:p w14:paraId="27533A79" w14:textId="77777777" w:rsidR="00336CAD" w:rsidRDefault="00336CAD" w:rsidP="00336CAD">
      <w:pPr>
        <w:spacing w:line="360" w:lineRule="auto"/>
        <w:ind w:left="360"/>
        <w:contextualSpacing/>
        <w:jc w:val="both"/>
        <w:rPr>
          <w:rFonts w:ascii="Times New Roman" w:hAnsi="Times New Roman" w:cs="Times New Roman"/>
          <w:b/>
        </w:rPr>
      </w:pPr>
    </w:p>
    <w:p w14:paraId="145640D9" w14:textId="77777777" w:rsidR="00336CAD" w:rsidRDefault="00336CAD" w:rsidP="00E54282">
      <w:pPr>
        <w:pStyle w:val="Heading1"/>
        <w:spacing w:line="360" w:lineRule="auto"/>
        <w:rPr>
          <w:rFonts w:ascii="Times New Roman" w:hAnsi="Times New Roman" w:cs="Times New Roman"/>
        </w:rPr>
      </w:pPr>
    </w:p>
    <w:p w14:paraId="3EF6F78B" w14:textId="77777777" w:rsidR="00336CAD" w:rsidRDefault="00336CAD" w:rsidP="00336CAD"/>
    <w:p w14:paraId="23836331" w14:textId="77777777" w:rsidR="00336CAD" w:rsidRDefault="00336CAD" w:rsidP="00336CAD"/>
    <w:p w14:paraId="15B8F81E" w14:textId="77777777" w:rsidR="00FA4BFA" w:rsidRDefault="00FA4BFA" w:rsidP="00336CAD"/>
    <w:p w14:paraId="74135F0D" w14:textId="77777777" w:rsidR="00FA4BFA" w:rsidRDefault="00FA4BFA" w:rsidP="00336CAD"/>
    <w:p w14:paraId="263272DB" w14:textId="77777777" w:rsidR="00FA4BFA" w:rsidRDefault="00FA4BFA" w:rsidP="00336CAD"/>
    <w:p w14:paraId="02812486" w14:textId="77777777" w:rsidR="00336CAD" w:rsidRPr="00336CAD" w:rsidRDefault="00336CAD" w:rsidP="00336CAD"/>
    <w:p w14:paraId="6584EE9F" w14:textId="77777777" w:rsidR="0098082C" w:rsidRPr="004C75E0" w:rsidRDefault="001A40D8" w:rsidP="00E54282">
      <w:pPr>
        <w:pStyle w:val="Heading1"/>
        <w:spacing w:line="360" w:lineRule="auto"/>
        <w:rPr>
          <w:rFonts w:ascii="Times New Roman" w:hAnsi="Times New Roman" w:cs="Times New Roman"/>
        </w:rPr>
      </w:pPr>
      <w:bookmarkStart w:id="3" w:name="_Toc458687337"/>
      <w:r w:rsidRPr="004C75E0">
        <w:rPr>
          <w:rFonts w:ascii="Times New Roman" w:hAnsi="Times New Roman" w:cs="Times New Roman"/>
        </w:rPr>
        <w:t>1</w:t>
      </w:r>
      <w:r w:rsidR="00671C54" w:rsidRPr="004C75E0">
        <w:rPr>
          <w:rFonts w:ascii="Times New Roman" w:hAnsi="Times New Roman" w:cs="Times New Roman"/>
        </w:rPr>
        <w:t>.0</w:t>
      </w:r>
      <w:r w:rsidRPr="004C75E0">
        <w:rPr>
          <w:rFonts w:ascii="Times New Roman" w:hAnsi="Times New Roman" w:cs="Times New Roman"/>
        </w:rPr>
        <w:t>: Introduction</w:t>
      </w:r>
      <w:bookmarkEnd w:id="3"/>
    </w:p>
    <w:p w14:paraId="37C32BD8" w14:textId="77777777" w:rsidR="001120A5" w:rsidRPr="004C75E0" w:rsidRDefault="001120A5" w:rsidP="00A60BD4">
      <w:pPr>
        <w:keepNext/>
        <w:keepLines/>
        <w:spacing w:before="40" w:after="0" w:line="360" w:lineRule="auto"/>
        <w:outlineLvl w:val="1"/>
        <w:rPr>
          <w:rFonts w:ascii="Times New Roman" w:eastAsiaTheme="majorEastAsia" w:hAnsi="Times New Roman" w:cs="Times New Roman"/>
          <w:color w:val="2E74B5" w:themeColor="accent1" w:themeShade="BF"/>
          <w:sz w:val="26"/>
          <w:szCs w:val="26"/>
        </w:rPr>
      </w:pPr>
      <w:bookmarkStart w:id="4" w:name="_Toc434933507"/>
      <w:bookmarkStart w:id="5" w:name="_Toc458687338"/>
      <w:r w:rsidRPr="004C75E0">
        <w:rPr>
          <w:rFonts w:ascii="Times New Roman" w:eastAsiaTheme="majorEastAsia" w:hAnsi="Times New Roman" w:cs="Times New Roman"/>
          <w:color w:val="2E74B5" w:themeColor="accent1" w:themeShade="BF"/>
          <w:sz w:val="26"/>
          <w:szCs w:val="26"/>
        </w:rPr>
        <w:t>1.1</w:t>
      </w:r>
      <w:r w:rsidRPr="004C75E0">
        <w:rPr>
          <w:rFonts w:ascii="Times New Roman" w:eastAsiaTheme="majorEastAsia" w:hAnsi="Times New Roman" w:cs="Times New Roman"/>
          <w:color w:val="2E74B5" w:themeColor="accent1" w:themeShade="BF"/>
          <w:sz w:val="26"/>
          <w:szCs w:val="26"/>
        </w:rPr>
        <w:tab/>
        <w:t>Background to the Study</w:t>
      </w:r>
      <w:bookmarkEnd w:id="4"/>
      <w:bookmarkEnd w:id="5"/>
    </w:p>
    <w:p w14:paraId="5575CE64" w14:textId="77777777" w:rsidR="00DA5AE0" w:rsidRPr="004C75E0" w:rsidRDefault="000A2C73" w:rsidP="00A60BD4">
      <w:pPr>
        <w:suppressAutoHyphens/>
        <w:spacing w:after="0" w:line="360" w:lineRule="auto"/>
        <w:jc w:val="both"/>
        <w:rPr>
          <w:rFonts w:ascii="Times New Roman" w:eastAsia="Calibri" w:hAnsi="Times New Roman" w:cs="Times New Roman"/>
          <w:lang w:val="en-US" w:eastAsia="ar-SA"/>
        </w:rPr>
      </w:pPr>
      <w:r w:rsidRPr="004C75E0">
        <w:rPr>
          <w:rFonts w:ascii="Times New Roman" w:eastAsia="Calibri" w:hAnsi="Times New Roman" w:cs="Times New Roman"/>
          <w:lang w:val="en-IE" w:eastAsia="ar-SA"/>
        </w:rPr>
        <w:t xml:space="preserve"> In </w:t>
      </w:r>
      <w:r w:rsidR="001120A5" w:rsidRPr="004C75E0">
        <w:rPr>
          <w:rFonts w:ascii="Times New Roman" w:eastAsia="Calibri" w:hAnsi="Times New Roman" w:cs="Times New Roman"/>
          <w:lang w:val="en-US" w:eastAsia="ar-SA"/>
        </w:rPr>
        <w:t>2000</w:t>
      </w:r>
      <w:r w:rsidRPr="004C75E0">
        <w:rPr>
          <w:rFonts w:ascii="Times New Roman" w:eastAsia="Calibri" w:hAnsi="Times New Roman" w:cs="Times New Roman"/>
          <w:lang w:val="en-US" w:eastAsia="ar-SA"/>
        </w:rPr>
        <w:t xml:space="preserve">, </w:t>
      </w:r>
      <w:r w:rsidR="001120A5" w:rsidRPr="004C75E0">
        <w:rPr>
          <w:rFonts w:ascii="Times New Roman" w:eastAsia="Calibri" w:hAnsi="Times New Roman" w:cs="Times New Roman"/>
          <w:lang w:val="en-US" w:eastAsia="ar-SA"/>
        </w:rPr>
        <w:t>at the World Education Forum</w:t>
      </w:r>
      <w:r w:rsidRPr="004C75E0">
        <w:rPr>
          <w:rFonts w:ascii="Times New Roman" w:eastAsia="Calibri" w:hAnsi="Times New Roman" w:cs="Times New Roman"/>
          <w:lang w:val="en-US" w:eastAsia="ar-SA"/>
        </w:rPr>
        <w:t xml:space="preserve"> in Dakar</w:t>
      </w:r>
      <w:r w:rsidR="001120A5" w:rsidRPr="004C75E0">
        <w:rPr>
          <w:rFonts w:ascii="Times New Roman" w:eastAsia="Calibri" w:hAnsi="Times New Roman" w:cs="Times New Roman"/>
          <w:lang w:val="en-US" w:eastAsia="ar-SA"/>
        </w:rPr>
        <w:t>, the international community pledged to among others, achieve six Education for All (EFA) goals by 2015.</w:t>
      </w:r>
      <w:r w:rsidRPr="004C75E0">
        <w:rPr>
          <w:rFonts w:ascii="Times New Roman" w:eastAsia="Calibri" w:hAnsi="Times New Roman" w:cs="Times New Roman"/>
          <w:lang w:val="en-US" w:eastAsia="ar-SA"/>
        </w:rPr>
        <w:t xml:space="preserve"> These</w:t>
      </w:r>
      <w:r w:rsidR="00B81CC8" w:rsidRPr="004C75E0">
        <w:rPr>
          <w:rFonts w:ascii="Times New Roman" w:eastAsia="Calibri" w:hAnsi="Times New Roman" w:cs="Times New Roman"/>
          <w:lang w:val="en-US" w:eastAsia="ar-SA"/>
        </w:rPr>
        <w:t xml:space="preserve"> EFA goals were: </w:t>
      </w:r>
      <w:r w:rsidR="00DA5AE0" w:rsidRPr="004C75E0">
        <w:rPr>
          <w:rFonts w:ascii="Times New Roman" w:hAnsi="Times New Roman" w:cs="Times New Roman"/>
        </w:rPr>
        <w:t>(i) expanding and improving comprehensive early childhood care and education, especially for the most vulnerable and disadvantaged children;</w:t>
      </w:r>
      <w:r w:rsidR="00DA5AE0" w:rsidRPr="004C75E0">
        <w:rPr>
          <w:rFonts w:ascii="Times New Roman" w:eastAsia="Calibri" w:hAnsi="Times New Roman" w:cs="Times New Roman"/>
          <w:lang w:val="en-US" w:eastAsia="ar-SA"/>
        </w:rPr>
        <w:t xml:space="preserve"> </w:t>
      </w:r>
      <w:r w:rsidR="00DA5AE0" w:rsidRPr="004C75E0">
        <w:rPr>
          <w:rFonts w:ascii="Times New Roman" w:hAnsi="Times New Roman" w:cs="Times New Roman"/>
        </w:rPr>
        <w:t>(ii) ensuring that by 2015 all children, particularly girls, children in difficult circumstances and those belonging  to ethnic minorities, have access to and complete, free and compulsory primary education of good quality;</w:t>
      </w:r>
      <w:r w:rsidR="00DA5AE0" w:rsidRPr="004C75E0">
        <w:rPr>
          <w:rFonts w:ascii="Times New Roman" w:eastAsia="Calibri" w:hAnsi="Times New Roman" w:cs="Times New Roman"/>
          <w:lang w:val="en-US" w:eastAsia="ar-SA"/>
        </w:rPr>
        <w:t xml:space="preserve"> </w:t>
      </w:r>
      <w:r w:rsidR="00DA5AE0" w:rsidRPr="004C75E0">
        <w:rPr>
          <w:rFonts w:ascii="Times New Roman" w:hAnsi="Times New Roman" w:cs="Times New Roman"/>
        </w:rPr>
        <w:t>(iii) ensuring that the learning needs of all young people and adults are met through equitable access to appropriate learning and life-skills programmes;</w:t>
      </w:r>
      <w:r w:rsidR="00DA5AE0" w:rsidRPr="004C75E0">
        <w:rPr>
          <w:rFonts w:ascii="Times New Roman" w:eastAsia="Calibri" w:hAnsi="Times New Roman" w:cs="Times New Roman"/>
          <w:lang w:val="en-US" w:eastAsia="ar-SA"/>
        </w:rPr>
        <w:t xml:space="preserve"> </w:t>
      </w:r>
      <w:r w:rsidR="00DA5AE0" w:rsidRPr="004C75E0">
        <w:rPr>
          <w:rFonts w:ascii="Times New Roman" w:hAnsi="Times New Roman" w:cs="Times New Roman"/>
        </w:rPr>
        <w:t>(iv) achieving a 50 per cent improvement in levels of adult literacy by 2015, especially for women, and equitable access to basic and continuing education for all adults;</w:t>
      </w:r>
      <w:r w:rsidR="00DA5AE0" w:rsidRPr="004C75E0">
        <w:rPr>
          <w:rFonts w:ascii="Times New Roman" w:eastAsia="Calibri" w:hAnsi="Times New Roman" w:cs="Times New Roman"/>
          <w:lang w:val="en-US" w:eastAsia="ar-SA"/>
        </w:rPr>
        <w:t xml:space="preserve"> </w:t>
      </w:r>
      <w:r w:rsidR="00DA5AE0" w:rsidRPr="004C75E0">
        <w:rPr>
          <w:rFonts w:ascii="Times New Roman" w:hAnsi="Times New Roman" w:cs="Times New Roman"/>
        </w:rPr>
        <w:t>(v) eliminating gender disparities in primary and secondary education by 2005, and achieving gender equality in education by 2015, with a focus on ensuring girls’ full and equal access to and achievement in basic education of good quality; and,</w:t>
      </w:r>
      <w:r w:rsidR="00DA5AE0" w:rsidRPr="004C75E0">
        <w:rPr>
          <w:rFonts w:ascii="Times New Roman" w:eastAsia="Calibri" w:hAnsi="Times New Roman" w:cs="Times New Roman"/>
          <w:lang w:val="en-US" w:eastAsia="ar-SA"/>
        </w:rPr>
        <w:t xml:space="preserve"> </w:t>
      </w:r>
      <w:r w:rsidR="00DA5AE0" w:rsidRPr="004C75E0">
        <w:rPr>
          <w:rFonts w:ascii="Times New Roman" w:hAnsi="Times New Roman" w:cs="Times New Roman"/>
        </w:rPr>
        <w:t>(vi) improving all aspects of the quality of education and ensuring excellence of all so that recognized and</w:t>
      </w:r>
      <w:r w:rsidR="00B81CC8" w:rsidRPr="004C75E0">
        <w:rPr>
          <w:rFonts w:ascii="Times New Roman" w:eastAsia="Calibri" w:hAnsi="Times New Roman" w:cs="Times New Roman"/>
          <w:lang w:val="en-US" w:eastAsia="ar-SA"/>
        </w:rPr>
        <w:t xml:space="preserve"> </w:t>
      </w:r>
      <w:r w:rsidR="00DA5AE0" w:rsidRPr="004C75E0">
        <w:rPr>
          <w:rFonts w:ascii="Times New Roman" w:hAnsi="Times New Roman" w:cs="Times New Roman"/>
        </w:rPr>
        <w:t>measurable learning outcomes are achieved by all, especially in literacy, numeracy and essential life skills</w:t>
      </w:r>
      <w:r w:rsidR="0098082C" w:rsidRPr="004C75E0">
        <w:rPr>
          <w:rFonts w:ascii="Times New Roman" w:hAnsi="Times New Roman" w:cs="Times New Roman"/>
        </w:rPr>
        <w:t xml:space="preserve"> (Dakar Framework of Action, 2000:2)</w:t>
      </w:r>
      <w:r w:rsidR="00DA5AE0" w:rsidRPr="004C75E0">
        <w:rPr>
          <w:rFonts w:ascii="Times New Roman" w:hAnsi="Times New Roman" w:cs="Times New Roman"/>
        </w:rPr>
        <w:t>.</w:t>
      </w:r>
    </w:p>
    <w:p w14:paraId="237BB2C3" w14:textId="77777777" w:rsidR="004C75E0" w:rsidRDefault="004C75E0" w:rsidP="00A60BD4">
      <w:pPr>
        <w:suppressAutoHyphens/>
        <w:spacing w:after="0" w:line="360" w:lineRule="auto"/>
        <w:jc w:val="both"/>
        <w:rPr>
          <w:rFonts w:ascii="Times New Roman" w:eastAsia="Calibri" w:hAnsi="Times New Roman" w:cs="Times New Roman"/>
          <w:lang w:val="en-US" w:eastAsia="ar-SA"/>
        </w:rPr>
      </w:pPr>
    </w:p>
    <w:p w14:paraId="5B85B3E9" w14:textId="77777777" w:rsidR="001120A5" w:rsidRPr="004C75E0" w:rsidRDefault="00B301A4" w:rsidP="00A60BD4">
      <w:pPr>
        <w:suppressAutoHyphens/>
        <w:spacing w:after="0" w:line="360" w:lineRule="auto"/>
        <w:jc w:val="both"/>
        <w:rPr>
          <w:rFonts w:ascii="Times New Roman" w:eastAsia="Calibri" w:hAnsi="Times New Roman" w:cs="Times New Roman"/>
          <w:lang w:val="en-US" w:eastAsia="ar-SA"/>
        </w:rPr>
      </w:pPr>
      <w:r w:rsidRPr="004C75E0">
        <w:rPr>
          <w:rFonts w:ascii="Times New Roman" w:eastAsia="Calibri" w:hAnsi="Times New Roman" w:cs="Times New Roman"/>
          <w:lang w:val="en-US" w:eastAsia="ar-SA"/>
        </w:rPr>
        <w:t xml:space="preserve"> It was</w:t>
      </w:r>
      <w:r w:rsidR="001120A5" w:rsidRPr="004C75E0">
        <w:rPr>
          <w:rFonts w:ascii="Times New Roman" w:eastAsia="Calibri" w:hAnsi="Times New Roman" w:cs="Times New Roman"/>
          <w:lang w:val="en-US" w:eastAsia="ar-SA"/>
        </w:rPr>
        <w:t xml:space="preserve"> reported that at that time, 99.8 million children</w:t>
      </w:r>
      <w:r w:rsidR="00DD13FB" w:rsidRPr="004C75E0">
        <w:rPr>
          <w:rFonts w:ascii="Times New Roman" w:eastAsia="Calibri" w:hAnsi="Times New Roman" w:cs="Times New Roman"/>
          <w:lang w:val="en-US" w:eastAsia="ar-SA"/>
        </w:rPr>
        <w:t xml:space="preserve"> of primary school age across the globe</w:t>
      </w:r>
      <w:r w:rsidR="001120A5" w:rsidRPr="004C75E0">
        <w:rPr>
          <w:rFonts w:ascii="Times New Roman" w:eastAsia="Calibri" w:hAnsi="Times New Roman" w:cs="Times New Roman"/>
          <w:lang w:val="en-US" w:eastAsia="ar-SA"/>
        </w:rPr>
        <w:t xml:space="preserve"> (including some 41 million in Sub</w:t>
      </w:r>
      <w:r w:rsidR="00EA0F56">
        <w:rPr>
          <w:rFonts w:ascii="Times New Roman" w:eastAsia="Calibri" w:hAnsi="Times New Roman" w:cs="Times New Roman"/>
          <w:lang w:val="en-US" w:eastAsia="ar-SA"/>
        </w:rPr>
        <w:t>- Saharan Africa</w:t>
      </w:r>
      <w:r w:rsidR="001120A5" w:rsidRPr="004C75E0">
        <w:rPr>
          <w:rFonts w:ascii="Times New Roman" w:eastAsia="Calibri" w:hAnsi="Times New Roman" w:cs="Times New Roman"/>
          <w:lang w:val="en-US" w:eastAsia="ar-SA"/>
        </w:rPr>
        <w:t>) were out of school</w:t>
      </w:r>
      <w:r w:rsidR="00EA0F56">
        <w:rPr>
          <w:rFonts w:ascii="Times New Roman" w:eastAsia="Calibri" w:hAnsi="Times New Roman" w:cs="Times New Roman"/>
          <w:lang w:val="en-US" w:eastAsia="ar-SA"/>
        </w:rPr>
        <w:t xml:space="preserve"> (UNESCO, 2000)</w:t>
      </w:r>
      <w:r w:rsidR="001120A5" w:rsidRPr="004C75E0">
        <w:rPr>
          <w:rFonts w:ascii="Times New Roman" w:eastAsia="Calibri" w:hAnsi="Times New Roman" w:cs="Times New Roman"/>
          <w:lang w:val="en-US" w:eastAsia="ar-SA"/>
        </w:rPr>
        <w:t>. In the same year, the United Nations adopted the eight Millennium Development Goals (MDGs), two of which were complimentary to two of the EFA goals</w:t>
      </w:r>
      <w:r w:rsidR="0075736D" w:rsidRPr="004C75E0">
        <w:rPr>
          <w:rFonts w:ascii="Times New Roman" w:eastAsia="Calibri" w:hAnsi="Times New Roman" w:cs="Times New Roman"/>
          <w:lang w:val="en-US" w:eastAsia="ar-SA"/>
        </w:rPr>
        <w:t xml:space="preserve"> </w:t>
      </w:r>
      <w:r w:rsidR="001120A5" w:rsidRPr="004C75E0">
        <w:rPr>
          <w:rFonts w:ascii="Times New Roman" w:eastAsia="Calibri" w:hAnsi="Times New Roman" w:cs="Times New Roman"/>
          <w:lang w:val="en-US" w:eastAsia="ar-SA"/>
        </w:rPr>
        <w:t>- one on universal primary education (MDG2) and the other on achieving gender parity in schools (MDG3)</w:t>
      </w:r>
      <w:r w:rsidR="00DD13FB" w:rsidRPr="004C75E0">
        <w:rPr>
          <w:rFonts w:ascii="Times New Roman" w:eastAsia="Calibri" w:hAnsi="Times New Roman" w:cs="Times New Roman"/>
          <w:lang w:val="en-US" w:eastAsia="ar-SA"/>
        </w:rPr>
        <w:t xml:space="preserve"> ( </w:t>
      </w:r>
      <w:r w:rsidR="00DD13FB" w:rsidRPr="00EA0F56">
        <w:rPr>
          <w:rFonts w:ascii="Times New Roman" w:eastAsia="Calibri" w:hAnsi="Times New Roman" w:cs="Times New Roman"/>
          <w:lang w:val="en-US" w:eastAsia="ar-SA"/>
        </w:rPr>
        <w:t>UNDP, 2000</w:t>
      </w:r>
      <w:r w:rsidR="00DD13FB" w:rsidRPr="004C75E0">
        <w:rPr>
          <w:rFonts w:ascii="Times New Roman" w:eastAsia="Calibri" w:hAnsi="Times New Roman" w:cs="Times New Roman"/>
          <w:lang w:val="en-US" w:eastAsia="ar-SA"/>
        </w:rPr>
        <w:t>)</w:t>
      </w:r>
      <w:r w:rsidR="001120A5" w:rsidRPr="004C75E0">
        <w:rPr>
          <w:rFonts w:ascii="Times New Roman" w:eastAsia="Calibri" w:hAnsi="Times New Roman" w:cs="Times New Roman"/>
          <w:lang w:val="en-US" w:eastAsia="ar-SA"/>
        </w:rPr>
        <w:t xml:space="preserve">.  </w:t>
      </w:r>
      <w:r w:rsidR="0075736D" w:rsidRPr="004C75E0">
        <w:rPr>
          <w:rFonts w:ascii="Times New Roman" w:eastAsia="Calibri" w:hAnsi="Times New Roman" w:cs="Times New Roman"/>
          <w:lang w:val="en-US" w:eastAsia="ar-SA"/>
        </w:rPr>
        <w:t>Like the EFA goals, the MDGs were</w:t>
      </w:r>
      <w:r w:rsidR="001120A5" w:rsidRPr="004C75E0">
        <w:rPr>
          <w:rFonts w:ascii="Times New Roman" w:eastAsia="Calibri" w:hAnsi="Times New Roman" w:cs="Times New Roman"/>
          <w:lang w:val="en-US" w:eastAsia="ar-SA"/>
        </w:rPr>
        <w:t xml:space="preserve"> supposed to be achieved by 2015. </w:t>
      </w:r>
    </w:p>
    <w:p w14:paraId="3353E004" w14:textId="77777777" w:rsidR="001C3022" w:rsidRPr="004C75E0" w:rsidRDefault="001C3022" w:rsidP="00A60BD4">
      <w:pPr>
        <w:suppressAutoHyphens/>
        <w:spacing w:after="0" w:line="360" w:lineRule="auto"/>
        <w:jc w:val="both"/>
        <w:rPr>
          <w:rFonts w:ascii="Times New Roman" w:eastAsia="Calibri" w:hAnsi="Times New Roman" w:cs="Times New Roman"/>
          <w:lang w:val="en-US" w:eastAsia="ar-SA"/>
        </w:rPr>
      </w:pPr>
    </w:p>
    <w:p w14:paraId="33C5C249" w14:textId="32134040" w:rsidR="001120A5" w:rsidRPr="004C75E0" w:rsidRDefault="00DD13FB" w:rsidP="00A60BD4">
      <w:pPr>
        <w:suppressAutoHyphens/>
        <w:spacing w:after="0" w:line="360" w:lineRule="auto"/>
        <w:jc w:val="both"/>
        <w:rPr>
          <w:rFonts w:ascii="Times New Roman" w:eastAsia="Calibri" w:hAnsi="Times New Roman" w:cs="Times New Roman"/>
          <w:lang w:val="en-US" w:eastAsia="ar-SA"/>
        </w:rPr>
      </w:pPr>
      <w:r w:rsidRPr="004C75E0">
        <w:rPr>
          <w:rFonts w:ascii="Times New Roman" w:eastAsia="Calibri" w:hAnsi="Times New Roman" w:cs="Times New Roman"/>
          <w:lang w:val="en-US" w:eastAsia="ar-SA"/>
        </w:rPr>
        <w:t>At the close of</w:t>
      </w:r>
      <w:r w:rsidR="00843FD3" w:rsidRPr="004C75E0">
        <w:rPr>
          <w:rFonts w:ascii="Times New Roman" w:eastAsia="Calibri" w:hAnsi="Times New Roman" w:cs="Times New Roman"/>
          <w:lang w:val="en-US" w:eastAsia="ar-SA"/>
        </w:rPr>
        <w:t xml:space="preserve"> 2015, it was</w:t>
      </w:r>
      <w:r w:rsidR="001120A5" w:rsidRPr="004C75E0">
        <w:rPr>
          <w:rFonts w:ascii="Times New Roman" w:eastAsia="Calibri" w:hAnsi="Times New Roman" w:cs="Times New Roman"/>
          <w:lang w:val="en-US" w:eastAsia="ar-SA"/>
        </w:rPr>
        <w:t xml:space="preserve"> estimated that as many as 57.8 million children of primary school age</w:t>
      </w:r>
      <w:r w:rsidRPr="004C75E0">
        <w:rPr>
          <w:rFonts w:ascii="Times New Roman" w:eastAsia="Calibri" w:hAnsi="Times New Roman" w:cs="Times New Roman"/>
          <w:lang w:val="en-US" w:eastAsia="ar-SA"/>
        </w:rPr>
        <w:t xml:space="preserve"> across the globe</w:t>
      </w:r>
      <w:r w:rsidR="001120A5" w:rsidRPr="004C75E0">
        <w:rPr>
          <w:rFonts w:ascii="Times New Roman" w:eastAsia="Calibri" w:hAnsi="Times New Roman" w:cs="Times New Roman"/>
          <w:lang w:val="en-US" w:eastAsia="ar-SA"/>
        </w:rPr>
        <w:t xml:space="preserve"> (bet</w:t>
      </w:r>
      <w:r w:rsidR="00843FD3" w:rsidRPr="004C75E0">
        <w:rPr>
          <w:rFonts w:ascii="Times New Roman" w:eastAsia="Calibri" w:hAnsi="Times New Roman" w:cs="Times New Roman"/>
          <w:lang w:val="en-US" w:eastAsia="ar-SA"/>
        </w:rPr>
        <w:t>ween 6 and 11 years of age</w:t>
      </w:r>
      <w:r w:rsidR="00A90658">
        <w:rPr>
          <w:rFonts w:ascii="Times New Roman" w:eastAsia="Calibri" w:hAnsi="Times New Roman" w:cs="Times New Roman"/>
          <w:lang w:val="en-US" w:eastAsia="ar-SA"/>
        </w:rPr>
        <w:t>)</w:t>
      </w:r>
      <w:r w:rsidR="00843FD3" w:rsidRPr="004C75E0">
        <w:rPr>
          <w:rFonts w:ascii="Times New Roman" w:eastAsia="Calibri" w:hAnsi="Times New Roman" w:cs="Times New Roman"/>
          <w:lang w:val="en-US" w:eastAsia="ar-SA"/>
        </w:rPr>
        <w:t xml:space="preserve"> had never been to school or were</w:t>
      </w:r>
      <w:r w:rsidR="001120A5" w:rsidRPr="004C75E0">
        <w:rPr>
          <w:rFonts w:ascii="Times New Roman" w:eastAsia="Calibri" w:hAnsi="Times New Roman" w:cs="Times New Roman"/>
          <w:lang w:val="en-US" w:eastAsia="ar-SA"/>
        </w:rPr>
        <w:t xml:space="preserve"> out</w:t>
      </w:r>
      <w:r w:rsidR="00B301A4" w:rsidRPr="004C75E0">
        <w:rPr>
          <w:rFonts w:ascii="Times New Roman" w:eastAsia="Calibri" w:hAnsi="Times New Roman" w:cs="Times New Roman"/>
          <w:lang w:val="en-US" w:eastAsia="ar-SA"/>
        </w:rPr>
        <w:t xml:space="preserve"> of school</w:t>
      </w:r>
      <w:r w:rsidRPr="004C75E0">
        <w:rPr>
          <w:rFonts w:ascii="Times New Roman" w:eastAsia="Calibri" w:hAnsi="Times New Roman" w:cs="Times New Roman"/>
          <w:lang w:val="en-US" w:eastAsia="ar-SA"/>
        </w:rPr>
        <w:t xml:space="preserve">. Another 62 million </w:t>
      </w:r>
      <w:r w:rsidR="001120A5" w:rsidRPr="004C75E0">
        <w:rPr>
          <w:rFonts w:ascii="Times New Roman" w:eastAsia="Calibri" w:hAnsi="Times New Roman" w:cs="Times New Roman"/>
          <w:lang w:val="en-US" w:eastAsia="ar-SA"/>
        </w:rPr>
        <w:t>had some schooling, but dropped out of school before completing primary school.  Moreover, at the beginning of 2014, the world learnt of the global learning crisis, as UNESCO</w:t>
      </w:r>
      <w:r w:rsidRPr="004C75E0">
        <w:rPr>
          <w:rFonts w:ascii="Times New Roman" w:eastAsia="Calibri" w:hAnsi="Times New Roman" w:cs="Times New Roman"/>
          <w:lang w:val="en-US" w:eastAsia="ar-SA"/>
        </w:rPr>
        <w:t xml:space="preserve"> </w:t>
      </w:r>
      <w:r w:rsidRPr="00EA0F56">
        <w:rPr>
          <w:rFonts w:ascii="Times New Roman" w:eastAsia="Calibri" w:hAnsi="Times New Roman" w:cs="Times New Roman"/>
          <w:lang w:val="en-US" w:eastAsia="ar-SA"/>
        </w:rPr>
        <w:t>(</w:t>
      </w:r>
      <w:r w:rsidR="00EA0F56" w:rsidRPr="00EA0F56">
        <w:rPr>
          <w:rFonts w:ascii="Times New Roman" w:eastAsia="Calibri" w:hAnsi="Times New Roman" w:cs="Times New Roman"/>
          <w:lang w:val="en-US" w:eastAsia="ar-SA"/>
        </w:rPr>
        <w:t>2014</w:t>
      </w:r>
      <w:r w:rsidRPr="004C75E0">
        <w:rPr>
          <w:rFonts w:ascii="Times New Roman" w:eastAsia="Calibri" w:hAnsi="Times New Roman" w:cs="Times New Roman"/>
          <w:lang w:val="en-US" w:eastAsia="ar-SA"/>
        </w:rPr>
        <w:t>)</w:t>
      </w:r>
      <w:r w:rsidR="001120A5" w:rsidRPr="004C75E0">
        <w:rPr>
          <w:rFonts w:ascii="Times New Roman" w:eastAsia="Calibri" w:hAnsi="Times New Roman" w:cs="Times New Roman"/>
          <w:lang w:val="en-US" w:eastAsia="ar-SA"/>
        </w:rPr>
        <w:t xml:space="preserve"> estimated that out of the world’s 650 million primary school-age children, at least 250 million were not learning the basics in reading and mathematics</w:t>
      </w:r>
      <w:r w:rsidRPr="004C75E0">
        <w:rPr>
          <w:rFonts w:ascii="Times New Roman" w:eastAsia="Calibri" w:hAnsi="Times New Roman" w:cs="Times New Roman"/>
          <w:lang w:val="en-US" w:eastAsia="ar-SA"/>
        </w:rPr>
        <w:t>. In addition to the</w:t>
      </w:r>
      <w:r w:rsidR="00CD2846">
        <w:rPr>
          <w:rFonts w:ascii="Times New Roman" w:eastAsia="Calibri" w:hAnsi="Times New Roman" w:cs="Times New Roman"/>
          <w:lang w:val="en-US" w:eastAsia="ar-SA"/>
        </w:rPr>
        <w:t xml:space="preserve"> 57.8</w:t>
      </w:r>
      <w:r w:rsidR="001120A5" w:rsidRPr="004C75E0">
        <w:rPr>
          <w:rFonts w:ascii="Times New Roman" w:eastAsia="Calibri" w:hAnsi="Times New Roman" w:cs="Times New Roman"/>
          <w:lang w:val="en-US" w:eastAsia="ar-SA"/>
        </w:rPr>
        <w:t xml:space="preserve"> million out of school and 62</w:t>
      </w:r>
      <w:r w:rsidRPr="004C75E0">
        <w:rPr>
          <w:rFonts w:ascii="Times New Roman" w:eastAsia="Calibri" w:hAnsi="Times New Roman" w:cs="Times New Roman"/>
          <w:lang w:val="en-US" w:eastAsia="ar-SA"/>
        </w:rPr>
        <w:t xml:space="preserve"> million who had</w:t>
      </w:r>
      <w:r w:rsidR="001120A5" w:rsidRPr="004C75E0">
        <w:rPr>
          <w:rFonts w:ascii="Times New Roman" w:eastAsia="Calibri" w:hAnsi="Times New Roman" w:cs="Times New Roman"/>
          <w:lang w:val="en-US" w:eastAsia="ar-SA"/>
        </w:rPr>
        <w:t xml:space="preserve"> dropped out, anot</w:t>
      </w:r>
      <w:r w:rsidRPr="004C75E0">
        <w:rPr>
          <w:rFonts w:ascii="Times New Roman" w:eastAsia="Calibri" w:hAnsi="Times New Roman" w:cs="Times New Roman"/>
          <w:lang w:val="en-US" w:eastAsia="ar-SA"/>
        </w:rPr>
        <w:t>her 130 million young people were</w:t>
      </w:r>
      <w:r w:rsidR="001120A5" w:rsidRPr="004C75E0">
        <w:rPr>
          <w:rFonts w:ascii="Times New Roman" w:eastAsia="Calibri" w:hAnsi="Times New Roman" w:cs="Times New Roman"/>
          <w:lang w:val="en-US" w:eastAsia="ar-SA"/>
        </w:rPr>
        <w:t xml:space="preserve"> reaching grade 4 without being able to read or write a sentence or add two numbers</w:t>
      </w:r>
      <w:r w:rsidR="00CD2846">
        <w:rPr>
          <w:rFonts w:ascii="Times New Roman" w:eastAsia="Calibri" w:hAnsi="Times New Roman" w:cs="Times New Roman"/>
          <w:lang w:val="en-US" w:eastAsia="ar-SA"/>
        </w:rPr>
        <w:t xml:space="preserve"> (ZANEC, 2015</w:t>
      </w:r>
      <w:r w:rsidR="00EA0F56">
        <w:rPr>
          <w:rFonts w:ascii="Times New Roman" w:eastAsia="Calibri" w:hAnsi="Times New Roman" w:cs="Times New Roman"/>
          <w:lang w:val="en-US" w:eastAsia="ar-SA"/>
        </w:rPr>
        <w:t>)</w:t>
      </w:r>
      <w:r w:rsidR="001120A5" w:rsidRPr="004C75E0">
        <w:rPr>
          <w:rFonts w:ascii="Times New Roman" w:eastAsia="Calibri" w:hAnsi="Times New Roman" w:cs="Times New Roman"/>
          <w:lang w:val="en-US" w:eastAsia="ar-SA"/>
        </w:rPr>
        <w:t xml:space="preserve">. In Sub Saharan Africa, only two-fifths reach Grade 4 and achieve the </w:t>
      </w:r>
      <w:r w:rsidR="00EA0F56">
        <w:rPr>
          <w:rFonts w:ascii="Times New Roman" w:eastAsia="Calibri" w:hAnsi="Times New Roman" w:cs="Times New Roman"/>
          <w:lang w:val="en-US" w:eastAsia="ar-SA"/>
        </w:rPr>
        <w:t>basics</w:t>
      </w:r>
      <w:r w:rsidR="001120A5" w:rsidRPr="004C75E0">
        <w:rPr>
          <w:rFonts w:ascii="Times New Roman" w:eastAsia="Calibri" w:hAnsi="Times New Roman" w:cs="Times New Roman"/>
          <w:lang w:val="en-US" w:eastAsia="ar-SA"/>
        </w:rPr>
        <w:t>. Given the</w:t>
      </w:r>
      <w:r w:rsidR="000C4322" w:rsidRPr="004C75E0">
        <w:rPr>
          <w:rFonts w:ascii="Times New Roman" w:eastAsia="Calibri" w:hAnsi="Times New Roman" w:cs="Times New Roman"/>
          <w:lang w:val="en-US" w:eastAsia="ar-SA"/>
        </w:rPr>
        <w:t xml:space="preserve">se facts, </w:t>
      </w:r>
      <w:r w:rsidR="008C2399">
        <w:rPr>
          <w:rFonts w:ascii="Times New Roman" w:eastAsia="Calibri" w:hAnsi="Times New Roman" w:cs="Times New Roman"/>
          <w:lang w:val="en-US" w:eastAsia="ar-SA"/>
        </w:rPr>
        <w:t>a number of countries missed</w:t>
      </w:r>
      <w:r w:rsidR="001120A5" w:rsidRPr="004C75E0">
        <w:rPr>
          <w:rFonts w:ascii="Times New Roman" w:eastAsia="Calibri" w:hAnsi="Times New Roman" w:cs="Times New Roman"/>
          <w:lang w:val="en-US" w:eastAsia="ar-SA"/>
        </w:rPr>
        <w:t xml:space="preserve"> both the EFA goals and the MDGs </w:t>
      </w:r>
      <w:r w:rsidR="000C4322" w:rsidRPr="004C75E0">
        <w:rPr>
          <w:rFonts w:ascii="Times New Roman" w:eastAsia="Calibri" w:hAnsi="Times New Roman" w:cs="Times New Roman"/>
          <w:lang w:val="en-US" w:eastAsia="ar-SA"/>
        </w:rPr>
        <w:t>at the end of 2015,</w:t>
      </w:r>
      <w:r w:rsidR="001120A5" w:rsidRPr="004C75E0">
        <w:rPr>
          <w:rFonts w:ascii="Times New Roman" w:eastAsia="Calibri" w:hAnsi="Times New Roman" w:cs="Times New Roman"/>
          <w:lang w:val="en-US" w:eastAsia="ar-SA"/>
        </w:rPr>
        <w:t xml:space="preserve"> especially in Africa.</w:t>
      </w:r>
    </w:p>
    <w:p w14:paraId="44BB3346" w14:textId="77777777" w:rsidR="000C4322" w:rsidRPr="004C75E0" w:rsidRDefault="000C4322" w:rsidP="00A60BD4">
      <w:pPr>
        <w:suppressAutoHyphens/>
        <w:spacing w:after="0" w:line="360" w:lineRule="auto"/>
        <w:jc w:val="both"/>
        <w:rPr>
          <w:rFonts w:ascii="Times New Roman" w:eastAsia="Calibri" w:hAnsi="Times New Roman" w:cs="Times New Roman"/>
          <w:lang w:val="en-US" w:eastAsia="ar-SA"/>
        </w:rPr>
      </w:pPr>
    </w:p>
    <w:p w14:paraId="5CAAEC94" w14:textId="7E16B13E" w:rsidR="001120A5" w:rsidRPr="004C75E0" w:rsidRDefault="001120A5" w:rsidP="00A60BD4">
      <w:pPr>
        <w:suppressAutoHyphens/>
        <w:spacing w:after="0" w:line="360" w:lineRule="auto"/>
        <w:jc w:val="both"/>
        <w:rPr>
          <w:rFonts w:ascii="Times New Roman" w:eastAsia="Calibri" w:hAnsi="Times New Roman" w:cs="Times New Roman"/>
          <w:lang w:val="en-US" w:eastAsia="ar-SA"/>
        </w:rPr>
      </w:pPr>
      <w:r w:rsidRPr="004C75E0">
        <w:rPr>
          <w:rFonts w:ascii="Times New Roman" w:eastAsia="Calibri" w:hAnsi="Times New Roman" w:cs="Times New Roman"/>
          <w:lang w:val="en-US" w:eastAsia="ar-SA"/>
        </w:rPr>
        <w:t xml:space="preserve">One of the major challenges faced by </w:t>
      </w:r>
      <w:r w:rsidR="000C4322" w:rsidRPr="004C75E0">
        <w:rPr>
          <w:rFonts w:ascii="Times New Roman" w:eastAsia="Calibri" w:hAnsi="Times New Roman" w:cs="Times New Roman"/>
          <w:lang w:val="en-US" w:eastAsia="ar-SA"/>
        </w:rPr>
        <w:t xml:space="preserve">many developing </w:t>
      </w:r>
      <w:r w:rsidRPr="004C75E0">
        <w:rPr>
          <w:rFonts w:ascii="Times New Roman" w:eastAsia="Calibri" w:hAnsi="Times New Roman" w:cs="Times New Roman"/>
          <w:lang w:val="en-US" w:eastAsia="ar-SA"/>
        </w:rPr>
        <w:t>countries</w:t>
      </w:r>
      <w:r w:rsidR="000C4322" w:rsidRPr="004C75E0">
        <w:rPr>
          <w:rFonts w:ascii="Times New Roman" w:eastAsia="Calibri" w:hAnsi="Times New Roman" w:cs="Times New Roman"/>
          <w:lang w:val="en-US" w:eastAsia="ar-SA"/>
        </w:rPr>
        <w:t>, especially</w:t>
      </w:r>
      <w:r w:rsidRPr="004C75E0">
        <w:rPr>
          <w:rFonts w:ascii="Times New Roman" w:eastAsia="Calibri" w:hAnsi="Times New Roman" w:cs="Times New Roman"/>
          <w:lang w:val="en-US" w:eastAsia="ar-SA"/>
        </w:rPr>
        <w:t xml:space="preserve"> in</w:t>
      </w:r>
      <w:r w:rsidR="000C4322" w:rsidRPr="004C75E0">
        <w:rPr>
          <w:rFonts w:ascii="Times New Roman" w:eastAsia="Calibri" w:hAnsi="Times New Roman" w:cs="Times New Roman"/>
          <w:lang w:val="en-US" w:eastAsia="ar-SA"/>
        </w:rPr>
        <w:t xml:space="preserve"> Sub-Saharan</w:t>
      </w:r>
      <w:r w:rsidRPr="004C75E0">
        <w:rPr>
          <w:rFonts w:ascii="Times New Roman" w:eastAsia="Calibri" w:hAnsi="Times New Roman" w:cs="Times New Roman"/>
          <w:lang w:val="en-US" w:eastAsia="ar-SA"/>
        </w:rPr>
        <w:t xml:space="preserve"> A</w:t>
      </w:r>
      <w:r w:rsidR="000C4322" w:rsidRPr="004C75E0">
        <w:rPr>
          <w:rFonts w:ascii="Times New Roman" w:eastAsia="Calibri" w:hAnsi="Times New Roman" w:cs="Times New Roman"/>
          <w:lang w:val="en-US" w:eastAsia="ar-SA"/>
        </w:rPr>
        <w:t>frica has been the financing</w:t>
      </w:r>
      <w:r w:rsidRPr="004C75E0">
        <w:rPr>
          <w:rFonts w:ascii="Times New Roman" w:eastAsia="Calibri" w:hAnsi="Times New Roman" w:cs="Times New Roman"/>
          <w:lang w:val="en-US" w:eastAsia="ar-SA"/>
        </w:rPr>
        <w:t xml:space="preserve"> gap. Although the governments and the international community p</w:t>
      </w:r>
      <w:r w:rsidR="000C4322" w:rsidRPr="004C75E0">
        <w:rPr>
          <w:rFonts w:ascii="Times New Roman" w:eastAsia="Calibri" w:hAnsi="Times New Roman" w:cs="Times New Roman"/>
          <w:lang w:val="en-US" w:eastAsia="ar-SA"/>
        </w:rPr>
        <w:t>ledged sustainable funding for EFA</w:t>
      </w:r>
      <w:r w:rsidRPr="004C75E0">
        <w:rPr>
          <w:rFonts w:ascii="Times New Roman" w:eastAsia="Calibri" w:hAnsi="Times New Roman" w:cs="Times New Roman"/>
          <w:lang w:val="en-US" w:eastAsia="ar-SA"/>
        </w:rPr>
        <w:t xml:space="preserve"> in 2000, failure to fulfill pledges has led to a huge funding gap estimated at US$16 billion annually (UNESCO, 2012). Most countries in Africa are unable to provide the international target of allocating 6 percent of the G</w:t>
      </w:r>
      <w:r w:rsidR="00CD2846">
        <w:rPr>
          <w:rFonts w:ascii="Times New Roman" w:eastAsia="Calibri" w:hAnsi="Times New Roman" w:cs="Times New Roman"/>
          <w:lang w:val="en-US" w:eastAsia="ar-SA"/>
        </w:rPr>
        <w:t xml:space="preserve">ross </w:t>
      </w:r>
      <w:r w:rsidRPr="004C75E0">
        <w:rPr>
          <w:rFonts w:ascii="Times New Roman" w:eastAsia="Calibri" w:hAnsi="Times New Roman" w:cs="Times New Roman"/>
          <w:lang w:val="en-US" w:eastAsia="ar-SA"/>
        </w:rPr>
        <w:t>D</w:t>
      </w:r>
      <w:r w:rsidR="00CD2846">
        <w:rPr>
          <w:rFonts w:ascii="Times New Roman" w:eastAsia="Calibri" w:hAnsi="Times New Roman" w:cs="Times New Roman"/>
          <w:lang w:val="en-US" w:eastAsia="ar-SA"/>
        </w:rPr>
        <w:t xml:space="preserve">omestic </w:t>
      </w:r>
      <w:r w:rsidRPr="004C75E0">
        <w:rPr>
          <w:rFonts w:ascii="Times New Roman" w:eastAsia="Calibri" w:hAnsi="Times New Roman" w:cs="Times New Roman"/>
          <w:lang w:val="en-US" w:eastAsia="ar-SA"/>
        </w:rPr>
        <w:t>P</w:t>
      </w:r>
      <w:r w:rsidR="00CD2846">
        <w:rPr>
          <w:rFonts w:ascii="Times New Roman" w:eastAsia="Calibri" w:hAnsi="Times New Roman" w:cs="Times New Roman"/>
          <w:lang w:val="en-US" w:eastAsia="ar-SA"/>
        </w:rPr>
        <w:t>roduct (GDP)</w:t>
      </w:r>
      <w:r w:rsidRPr="004C75E0">
        <w:rPr>
          <w:rFonts w:ascii="Times New Roman" w:eastAsia="Calibri" w:hAnsi="Times New Roman" w:cs="Times New Roman"/>
          <w:lang w:val="en-US" w:eastAsia="ar-SA"/>
        </w:rPr>
        <w:t xml:space="preserve"> or 20 percent of the national budget to </w:t>
      </w:r>
      <w:r w:rsidR="008C2399">
        <w:rPr>
          <w:rFonts w:ascii="Times New Roman" w:eastAsia="Calibri" w:hAnsi="Times New Roman" w:cs="Times New Roman"/>
          <w:lang w:val="en-US" w:eastAsia="ar-SA"/>
        </w:rPr>
        <w:t>education</w:t>
      </w:r>
      <w:r w:rsidRPr="004C75E0">
        <w:rPr>
          <w:rFonts w:ascii="Times New Roman" w:eastAsia="Calibri" w:hAnsi="Times New Roman" w:cs="Times New Roman"/>
          <w:lang w:val="en-US" w:eastAsia="ar-SA"/>
        </w:rPr>
        <w:t>. Globally, aid to basic education</w:t>
      </w:r>
      <w:r w:rsidR="00E24DEC" w:rsidRPr="004C75E0">
        <w:rPr>
          <w:rFonts w:ascii="Times New Roman" w:eastAsia="Calibri" w:hAnsi="Times New Roman" w:cs="Times New Roman"/>
          <w:lang w:val="en-US" w:eastAsia="ar-SA"/>
        </w:rPr>
        <w:t xml:space="preserve"> has also assumed a downward trend in the recent past</w:t>
      </w:r>
      <w:r w:rsidRPr="004C75E0">
        <w:rPr>
          <w:rFonts w:ascii="Times New Roman" w:eastAsia="Calibri" w:hAnsi="Times New Roman" w:cs="Times New Roman"/>
          <w:lang w:val="en-US" w:eastAsia="ar-SA"/>
        </w:rPr>
        <w:t xml:space="preserve">. </w:t>
      </w:r>
      <w:r w:rsidR="00E24DEC" w:rsidRPr="004C75E0">
        <w:rPr>
          <w:rFonts w:ascii="Times New Roman" w:eastAsia="Calibri" w:hAnsi="Times New Roman" w:cs="Times New Roman"/>
          <w:lang w:val="en-US" w:eastAsia="ar-SA"/>
        </w:rPr>
        <w:t>Unfortunately, the forecast for global aid for the coming years look</w:t>
      </w:r>
      <w:r w:rsidR="00E84990">
        <w:rPr>
          <w:rFonts w:ascii="Times New Roman" w:eastAsia="Calibri" w:hAnsi="Times New Roman" w:cs="Times New Roman"/>
          <w:lang w:val="en-US" w:eastAsia="ar-SA"/>
        </w:rPr>
        <w:t>s</w:t>
      </w:r>
      <w:r w:rsidRPr="004C75E0">
        <w:rPr>
          <w:rFonts w:ascii="Times New Roman" w:eastAsia="Calibri" w:hAnsi="Times New Roman" w:cs="Times New Roman"/>
          <w:lang w:val="en-US" w:eastAsia="ar-SA"/>
        </w:rPr>
        <w:t xml:space="preserve"> bleak as many donor countrie</w:t>
      </w:r>
      <w:r w:rsidR="00CD2846">
        <w:rPr>
          <w:rFonts w:ascii="Times New Roman" w:eastAsia="Calibri" w:hAnsi="Times New Roman" w:cs="Times New Roman"/>
          <w:lang w:val="en-US" w:eastAsia="ar-SA"/>
        </w:rPr>
        <w:t>s are expected to cut aid (OECD, 2014)</w:t>
      </w:r>
      <w:r w:rsidRPr="004C75E0">
        <w:rPr>
          <w:rFonts w:ascii="Times New Roman" w:eastAsia="Calibri" w:hAnsi="Times New Roman" w:cs="Times New Roman"/>
          <w:lang w:val="en-US" w:eastAsia="ar-SA"/>
        </w:rPr>
        <w:t xml:space="preserve">. </w:t>
      </w:r>
    </w:p>
    <w:p w14:paraId="2442D60A" w14:textId="77777777" w:rsidR="00B301A4" w:rsidRPr="004C75E0" w:rsidRDefault="00B301A4" w:rsidP="00A60BD4">
      <w:pPr>
        <w:suppressAutoHyphens/>
        <w:spacing w:after="0" w:line="360" w:lineRule="auto"/>
        <w:jc w:val="both"/>
        <w:rPr>
          <w:rFonts w:ascii="Times New Roman" w:eastAsia="Calibri" w:hAnsi="Times New Roman" w:cs="Times New Roman"/>
          <w:lang w:val="en-US" w:eastAsia="ar-SA"/>
        </w:rPr>
      </w:pPr>
    </w:p>
    <w:p w14:paraId="331A032B" w14:textId="06D18871" w:rsidR="00667168" w:rsidRDefault="001120A5" w:rsidP="00A60BD4">
      <w:pPr>
        <w:suppressAutoHyphens/>
        <w:spacing w:after="0" w:line="360" w:lineRule="auto"/>
        <w:jc w:val="both"/>
        <w:rPr>
          <w:rFonts w:ascii="Times New Roman" w:eastAsia="Calibri" w:hAnsi="Times New Roman" w:cs="Times New Roman"/>
          <w:lang w:val="en-US" w:eastAsia="ar-SA"/>
        </w:rPr>
      </w:pPr>
      <w:r w:rsidRPr="004C75E0">
        <w:rPr>
          <w:rFonts w:ascii="Times New Roman" w:eastAsia="Calibri" w:hAnsi="Times New Roman" w:cs="Times New Roman"/>
          <w:lang w:val="en-US" w:eastAsia="ar-SA"/>
        </w:rPr>
        <w:t xml:space="preserve">The </w:t>
      </w:r>
      <w:r w:rsidR="00B301A4" w:rsidRPr="004C75E0">
        <w:rPr>
          <w:rFonts w:ascii="Times New Roman" w:eastAsia="Calibri" w:hAnsi="Times New Roman" w:cs="Times New Roman"/>
          <w:lang w:val="en-US" w:eastAsia="ar-SA"/>
        </w:rPr>
        <w:t xml:space="preserve">ensuing </w:t>
      </w:r>
      <w:r w:rsidRPr="004C75E0">
        <w:rPr>
          <w:rFonts w:ascii="Times New Roman" w:eastAsia="Calibri" w:hAnsi="Times New Roman" w:cs="Times New Roman"/>
          <w:lang w:val="en-US" w:eastAsia="ar-SA"/>
        </w:rPr>
        <w:t xml:space="preserve">challenges in </w:t>
      </w:r>
      <w:r w:rsidR="00E24DEC" w:rsidRPr="004C75E0">
        <w:rPr>
          <w:rFonts w:ascii="Times New Roman" w:eastAsia="Calibri" w:hAnsi="Times New Roman" w:cs="Times New Roman"/>
          <w:lang w:val="en-US" w:eastAsia="ar-SA"/>
        </w:rPr>
        <w:t>the global aid architecture mean</w:t>
      </w:r>
      <w:r w:rsidR="00E84990">
        <w:rPr>
          <w:rFonts w:ascii="Times New Roman" w:eastAsia="Calibri" w:hAnsi="Times New Roman" w:cs="Times New Roman"/>
          <w:lang w:val="en-US" w:eastAsia="ar-SA"/>
        </w:rPr>
        <w:t>s</w:t>
      </w:r>
      <w:r w:rsidRPr="004C75E0">
        <w:rPr>
          <w:rFonts w:ascii="Times New Roman" w:eastAsia="Calibri" w:hAnsi="Times New Roman" w:cs="Times New Roman"/>
          <w:lang w:val="en-US" w:eastAsia="ar-SA"/>
        </w:rPr>
        <w:t xml:space="preserve"> that </w:t>
      </w:r>
      <w:r w:rsidR="00E24DEC" w:rsidRPr="004C75E0">
        <w:rPr>
          <w:rFonts w:ascii="Times New Roman" w:eastAsia="Calibri" w:hAnsi="Times New Roman" w:cs="Times New Roman"/>
          <w:lang w:val="en-US" w:eastAsia="ar-SA"/>
        </w:rPr>
        <w:t>developing countries</w:t>
      </w:r>
      <w:r w:rsidRPr="004C75E0">
        <w:rPr>
          <w:rFonts w:ascii="Times New Roman" w:eastAsia="Calibri" w:hAnsi="Times New Roman" w:cs="Times New Roman"/>
          <w:lang w:val="en-US" w:eastAsia="ar-SA"/>
        </w:rPr>
        <w:t xml:space="preserve"> have to focus on identifying and investing more in domestic </w:t>
      </w:r>
      <w:r w:rsidR="00E24DEC" w:rsidRPr="004C75E0">
        <w:rPr>
          <w:rFonts w:ascii="Times New Roman" w:eastAsia="Calibri" w:hAnsi="Times New Roman" w:cs="Times New Roman"/>
          <w:lang w:val="en-US" w:eastAsia="ar-SA"/>
        </w:rPr>
        <w:t>sources of financing and improving</w:t>
      </w:r>
      <w:r w:rsidRPr="004C75E0">
        <w:rPr>
          <w:rFonts w:ascii="Times New Roman" w:eastAsia="Calibri" w:hAnsi="Times New Roman" w:cs="Times New Roman"/>
          <w:lang w:val="en-US" w:eastAsia="ar-SA"/>
        </w:rPr>
        <w:t xml:space="preserve"> governance </w:t>
      </w:r>
      <w:r w:rsidR="00E24DEC" w:rsidRPr="004C75E0">
        <w:rPr>
          <w:rFonts w:ascii="Times New Roman" w:eastAsia="Calibri" w:hAnsi="Times New Roman" w:cs="Times New Roman"/>
          <w:lang w:val="en-US" w:eastAsia="ar-SA"/>
        </w:rPr>
        <w:t xml:space="preserve">and accountability frameworks in order </w:t>
      </w:r>
      <w:r w:rsidRPr="004C75E0">
        <w:rPr>
          <w:rFonts w:ascii="Times New Roman" w:eastAsia="Calibri" w:hAnsi="Times New Roman" w:cs="Times New Roman"/>
          <w:lang w:val="en-US" w:eastAsia="ar-SA"/>
        </w:rPr>
        <w:t xml:space="preserve">that funds meant for education </w:t>
      </w:r>
      <w:r w:rsidR="00E24DEC" w:rsidRPr="004C75E0">
        <w:rPr>
          <w:rFonts w:ascii="Times New Roman" w:eastAsia="Calibri" w:hAnsi="Times New Roman" w:cs="Times New Roman"/>
          <w:lang w:val="en-US" w:eastAsia="ar-SA"/>
        </w:rPr>
        <w:t xml:space="preserve">can </w:t>
      </w:r>
      <w:r w:rsidRPr="004C75E0">
        <w:rPr>
          <w:rFonts w:ascii="Times New Roman" w:eastAsia="Calibri" w:hAnsi="Times New Roman" w:cs="Times New Roman"/>
          <w:lang w:val="en-US" w:eastAsia="ar-SA"/>
        </w:rPr>
        <w:t xml:space="preserve">reach the </w:t>
      </w:r>
      <w:r w:rsidR="00E24DEC" w:rsidRPr="004C75E0">
        <w:rPr>
          <w:rFonts w:ascii="Times New Roman" w:eastAsia="Calibri" w:hAnsi="Times New Roman" w:cs="Times New Roman"/>
          <w:lang w:val="en-US" w:eastAsia="ar-SA"/>
        </w:rPr>
        <w:t>intended beneficiaries. Within this context, there would be</w:t>
      </w:r>
      <w:r w:rsidRPr="004C75E0">
        <w:rPr>
          <w:rFonts w:ascii="Times New Roman" w:eastAsia="Calibri" w:hAnsi="Times New Roman" w:cs="Times New Roman"/>
          <w:lang w:val="en-US" w:eastAsia="ar-SA"/>
        </w:rPr>
        <w:t xml:space="preserve"> need to identify the critical areas of education that should receive priority</w:t>
      </w:r>
      <w:r w:rsidR="007717FC" w:rsidRPr="004C75E0">
        <w:rPr>
          <w:rFonts w:ascii="Times New Roman" w:eastAsia="Calibri" w:hAnsi="Times New Roman" w:cs="Times New Roman"/>
          <w:lang w:val="en-US" w:eastAsia="ar-SA"/>
        </w:rPr>
        <w:t xml:space="preserve"> funding</w:t>
      </w:r>
      <w:r w:rsidRPr="004C75E0">
        <w:rPr>
          <w:rFonts w:ascii="Times New Roman" w:eastAsia="Calibri" w:hAnsi="Times New Roman" w:cs="Times New Roman"/>
          <w:lang w:val="en-US" w:eastAsia="ar-SA"/>
        </w:rPr>
        <w:t xml:space="preserve"> </w:t>
      </w:r>
      <w:r w:rsidR="00E24DEC" w:rsidRPr="004C75E0">
        <w:rPr>
          <w:rFonts w:ascii="Times New Roman" w:eastAsia="Calibri" w:hAnsi="Times New Roman" w:cs="Times New Roman"/>
          <w:lang w:val="en-US" w:eastAsia="ar-SA"/>
        </w:rPr>
        <w:t>despite exi</w:t>
      </w:r>
      <w:r w:rsidR="007717FC" w:rsidRPr="004C75E0">
        <w:rPr>
          <w:rFonts w:ascii="Times New Roman" w:eastAsia="Calibri" w:hAnsi="Times New Roman" w:cs="Times New Roman"/>
          <w:lang w:val="en-US" w:eastAsia="ar-SA"/>
        </w:rPr>
        <w:t xml:space="preserve">sting budget </w:t>
      </w:r>
      <w:r w:rsidR="00E24DEC" w:rsidRPr="004C75E0">
        <w:rPr>
          <w:rFonts w:ascii="Times New Roman" w:eastAsia="Calibri" w:hAnsi="Times New Roman" w:cs="Times New Roman"/>
          <w:lang w:val="en-US" w:eastAsia="ar-SA"/>
        </w:rPr>
        <w:t>constraints</w:t>
      </w:r>
      <w:r w:rsidR="00B301A4" w:rsidRPr="004C75E0">
        <w:rPr>
          <w:rFonts w:ascii="Times New Roman" w:eastAsia="Calibri" w:hAnsi="Times New Roman" w:cs="Times New Roman"/>
          <w:lang w:val="en-US" w:eastAsia="ar-SA"/>
        </w:rPr>
        <w:t>. C</w:t>
      </w:r>
      <w:r w:rsidRPr="004C75E0">
        <w:rPr>
          <w:rFonts w:ascii="Times New Roman" w:eastAsia="Calibri" w:hAnsi="Times New Roman" w:cs="Times New Roman"/>
          <w:lang w:val="en-US" w:eastAsia="ar-SA"/>
        </w:rPr>
        <w:t>ivil society organizations and other interested actors</w:t>
      </w:r>
      <w:r w:rsidR="00E24DEC" w:rsidRPr="004C75E0">
        <w:rPr>
          <w:rFonts w:ascii="Times New Roman" w:eastAsia="Calibri" w:hAnsi="Times New Roman" w:cs="Times New Roman"/>
          <w:lang w:val="en-US" w:eastAsia="ar-SA"/>
        </w:rPr>
        <w:t xml:space="preserve"> are seeking to</w:t>
      </w:r>
      <w:r w:rsidRPr="004C75E0">
        <w:rPr>
          <w:rFonts w:ascii="Times New Roman" w:eastAsia="Calibri" w:hAnsi="Times New Roman" w:cs="Times New Roman"/>
          <w:lang w:val="en-US" w:eastAsia="ar-SA"/>
        </w:rPr>
        <w:t xml:space="preserve"> engage</w:t>
      </w:r>
      <w:r w:rsidR="00E24DEC" w:rsidRPr="004C75E0">
        <w:rPr>
          <w:rFonts w:ascii="Times New Roman" w:eastAsia="Calibri" w:hAnsi="Times New Roman" w:cs="Times New Roman"/>
          <w:lang w:val="en-US" w:eastAsia="ar-SA"/>
        </w:rPr>
        <w:t xml:space="preserve"> policy makers and implementers</w:t>
      </w:r>
      <w:r w:rsidRPr="004C75E0">
        <w:rPr>
          <w:rFonts w:ascii="Times New Roman" w:eastAsia="Calibri" w:hAnsi="Times New Roman" w:cs="Times New Roman"/>
          <w:lang w:val="en-US" w:eastAsia="ar-SA"/>
        </w:rPr>
        <w:t xml:space="preserve"> in constructive and structured dialogue on these matt</w:t>
      </w:r>
      <w:r w:rsidR="007717FC" w:rsidRPr="004C75E0">
        <w:rPr>
          <w:rFonts w:ascii="Times New Roman" w:eastAsia="Calibri" w:hAnsi="Times New Roman" w:cs="Times New Roman"/>
          <w:lang w:val="en-US" w:eastAsia="ar-SA"/>
        </w:rPr>
        <w:t>ers</w:t>
      </w:r>
      <w:r w:rsidR="00B301A4" w:rsidRPr="004C75E0">
        <w:rPr>
          <w:rFonts w:ascii="Times New Roman" w:eastAsia="Calibri" w:hAnsi="Times New Roman" w:cs="Times New Roman"/>
          <w:lang w:val="en-US" w:eastAsia="ar-SA"/>
        </w:rPr>
        <w:t xml:space="preserve"> but have lacked the commensurate evidence to support their </w:t>
      </w:r>
      <w:r w:rsidR="00171B76" w:rsidRPr="004C75E0">
        <w:rPr>
          <w:rFonts w:ascii="Times New Roman" w:eastAsia="Calibri" w:hAnsi="Times New Roman" w:cs="Times New Roman"/>
          <w:lang w:val="en-US" w:eastAsia="ar-SA"/>
        </w:rPr>
        <w:t>policy positions and advocacy messages</w:t>
      </w:r>
      <w:r w:rsidRPr="004C75E0">
        <w:rPr>
          <w:rFonts w:ascii="Times New Roman" w:eastAsia="Calibri" w:hAnsi="Times New Roman" w:cs="Times New Roman"/>
          <w:lang w:val="en-US" w:eastAsia="ar-SA"/>
        </w:rPr>
        <w:t>. To do this, they need to gather up</w:t>
      </w:r>
      <w:r w:rsidR="008C2399">
        <w:rPr>
          <w:rFonts w:ascii="Times New Roman" w:eastAsia="Calibri" w:hAnsi="Times New Roman" w:cs="Times New Roman"/>
          <w:lang w:val="en-US" w:eastAsia="ar-SA"/>
        </w:rPr>
        <w:t xml:space="preserve">dated </w:t>
      </w:r>
      <w:r w:rsidRPr="004C75E0">
        <w:rPr>
          <w:rFonts w:ascii="Times New Roman" w:eastAsia="Calibri" w:hAnsi="Times New Roman" w:cs="Times New Roman"/>
          <w:lang w:val="en-US" w:eastAsia="ar-SA"/>
        </w:rPr>
        <w:t>information on</w:t>
      </w:r>
      <w:r w:rsidR="007717FC" w:rsidRPr="004C75E0">
        <w:rPr>
          <w:rFonts w:ascii="Times New Roman" w:eastAsia="Calibri" w:hAnsi="Times New Roman" w:cs="Times New Roman"/>
          <w:lang w:val="en-US" w:eastAsia="ar-SA"/>
        </w:rPr>
        <w:t xml:space="preserve"> the situation of education and financing pertaining to the period of EFA/MDG implementation. This</w:t>
      </w:r>
      <w:r w:rsidR="00171B76" w:rsidRPr="004C75E0">
        <w:rPr>
          <w:rFonts w:ascii="Times New Roman" w:eastAsia="Calibri" w:hAnsi="Times New Roman" w:cs="Times New Roman"/>
          <w:lang w:val="en-US" w:eastAsia="ar-SA"/>
        </w:rPr>
        <w:t xml:space="preserve"> will</w:t>
      </w:r>
      <w:r w:rsidR="007717FC" w:rsidRPr="004C75E0">
        <w:rPr>
          <w:rFonts w:ascii="Times New Roman" w:eastAsia="Calibri" w:hAnsi="Times New Roman" w:cs="Times New Roman"/>
          <w:lang w:val="en-US" w:eastAsia="ar-SA"/>
        </w:rPr>
        <w:t xml:space="preserve"> then enable them identify key challenges and</w:t>
      </w:r>
      <w:r w:rsidRPr="004C75E0">
        <w:rPr>
          <w:rFonts w:ascii="Times New Roman" w:eastAsia="Calibri" w:hAnsi="Times New Roman" w:cs="Times New Roman"/>
          <w:lang w:val="en-US" w:eastAsia="ar-SA"/>
        </w:rPr>
        <w:t xml:space="preserve"> opportunities for </w:t>
      </w:r>
      <w:r w:rsidR="007717FC" w:rsidRPr="004C75E0">
        <w:rPr>
          <w:rFonts w:ascii="Times New Roman" w:eastAsia="Calibri" w:hAnsi="Times New Roman" w:cs="Times New Roman"/>
          <w:lang w:val="en-US" w:eastAsia="ar-SA"/>
        </w:rPr>
        <w:t>improving ed</w:t>
      </w:r>
      <w:r w:rsidR="00BA52E1">
        <w:rPr>
          <w:rFonts w:ascii="Times New Roman" w:eastAsia="Calibri" w:hAnsi="Times New Roman" w:cs="Times New Roman"/>
          <w:lang w:val="en-US" w:eastAsia="ar-SA"/>
        </w:rPr>
        <w:t xml:space="preserve">ucation outcomes and </w:t>
      </w:r>
      <w:r w:rsidR="007717FC" w:rsidRPr="004C75E0">
        <w:rPr>
          <w:rFonts w:ascii="Times New Roman" w:eastAsia="Calibri" w:hAnsi="Times New Roman" w:cs="Times New Roman"/>
          <w:lang w:val="en-US" w:eastAsia="ar-SA"/>
        </w:rPr>
        <w:t>ways of mobilizing domestic resources</w:t>
      </w:r>
      <w:r w:rsidRPr="004C75E0">
        <w:rPr>
          <w:rFonts w:ascii="Times New Roman" w:eastAsia="Calibri" w:hAnsi="Times New Roman" w:cs="Times New Roman"/>
          <w:lang w:val="en-US" w:eastAsia="ar-SA"/>
        </w:rPr>
        <w:t xml:space="preserve">. Against this background, the Zambia National </w:t>
      </w:r>
      <w:r w:rsidR="007717FC" w:rsidRPr="004C75E0">
        <w:rPr>
          <w:rFonts w:ascii="Times New Roman" w:eastAsia="Calibri" w:hAnsi="Times New Roman" w:cs="Times New Roman"/>
          <w:lang w:val="en-US" w:eastAsia="ar-SA"/>
        </w:rPr>
        <w:t xml:space="preserve">Education Coalition (ZANEC) commissioned a national-wide desk </w:t>
      </w:r>
      <w:r w:rsidR="00667168" w:rsidRPr="004C75E0">
        <w:rPr>
          <w:rFonts w:ascii="Times New Roman" w:eastAsia="Calibri" w:hAnsi="Times New Roman" w:cs="Times New Roman"/>
          <w:lang w:val="en-US" w:eastAsia="ar-SA"/>
        </w:rPr>
        <w:t>study</w:t>
      </w:r>
      <w:r w:rsidR="00AF5A7F" w:rsidRPr="004C75E0">
        <w:rPr>
          <w:rFonts w:ascii="Times New Roman" w:eastAsia="Calibri" w:hAnsi="Times New Roman" w:cs="Times New Roman"/>
          <w:lang w:val="en-US" w:eastAsia="ar-SA"/>
        </w:rPr>
        <w:t xml:space="preserve"> </w:t>
      </w:r>
      <w:r w:rsidR="00171B76" w:rsidRPr="004C75E0">
        <w:rPr>
          <w:rFonts w:ascii="Times New Roman" w:eastAsia="Calibri" w:hAnsi="Times New Roman" w:cs="Times New Roman"/>
          <w:lang w:val="en-US" w:eastAsia="ar-SA"/>
        </w:rPr>
        <w:t xml:space="preserve">to understand Zambian </w:t>
      </w:r>
      <w:r w:rsidR="00AF5A7F" w:rsidRPr="004C75E0">
        <w:rPr>
          <w:rFonts w:ascii="Times New Roman" w:eastAsia="Calibri" w:hAnsi="Times New Roman" w:cs="Times New Roman"/>
          <w:lang w:val="en-US" w:eastAsia="ar-SA"/>
        </w:rPr>
        <w:t>education</w:t>
      </w:r>
      <w:r w:rsidR="00171B76" w:rsidRPr="004C75E0">
        <w:rPr>
          <w:rFonts w:ascii="Times New Roman" w:eastAsia="Calibri" w:hAnsi="Times New Roman" w:cs="Times New Roman"/>
          <w:lang w:val="en-US" w:eastAsia="ar-SA"/>
        </w:rPr>
        <w:t>al</w:t>
      </w:r>
      <w:r w:rsidR="00AF5A7F" w:rsidRPr="004C75E0">
        <w:rPr>
          <w:rFonts w:ascii="Times New Roman" w:eastAsia="Calibri" w:hAnsi="Times New Roman" w:cs="Times New Roman"/>
          <w:lang w:val="en-US" w:eastAsia="ar-SA"/>
        </w:rPr>
        <w:t xml:space="preserve"> gaps </w:t>
      </w:r>
      <w:r w:rsidR="00171B76" w:rsidRPr="004C75E0">
        <w:rPr>
          <w:rFonts w:ascii="Times New Roman" w:eastAsia="Calibri" w:hAnsi="Times New Roman" w:cs="Times New Roman"/>
          <w:lang w:val="en-US" w:eastAsia="ar-SA"/>
        </w:rPr>
        <w:t>and domestic financing to</w:t>
      </w:r>
      <w:r w:rsidRPr="004C75E0">
        <w:rPr>
          <w:rFonts w:ascii="Times New Roman" w:eastAsia="Calibri" w:hAnsi="Times New Roman" w:cs="Times New Roman"/>
          <w:lang w:val="en-US" w:eastAsia="ar-SA"/>
        </w:rPr>
        <w:t xml:space="preserve"> provide the evide</w:t>
      </w:r>
      <w:r w:rsidR="00AF5A7F" w:rsidRPr="004C75E0">
        <w:rPr>
          <w:rFonts w:ascii="Times New Roman" w:eastAsia="Calibri" w:hAnsi="Times New Roman" w:cs="Times New Roman"/>
          <w:lang w:val="en-US" w:eastAsia="ar-SA"/>
        </w:rPr>
        <w:t>nce base for</w:t>
      </w:r>
      <w:r w:rsidR="00171B76" w:rsidRPr="004C75E0">
        <w:rPr>
          <w:rFonts w:ascii="Times New Roman" w:eastAsia="Calibri" w:hAnsi="Times New Roman" w:cs="Times New Roman"/>
          <w:lang w:val="en-US" w:eastAsia="ar-SA"/>
        </w:rPr>
        <w:t xml:space="preserve"> articulating policy positions and for informing advocacy agenda.</w:t>
      </w:r>
    </w:p>
    <w:p w14:paraId="07F851AE" w14:textId="77777777" w:rsidR="004C75E0" w:rsidRPr="004C75E0" w:rsidRDefault="004C75E0" w:rsidP="00A60BD4">
      <w:pPr>
        <w:suppressAutoHyphens/>
        <w:spacing w:after="0" w:line="360" w:lineRule="auto"/>
        <w:jc w:val="both"/>
        <w:rPr>
          <w:rFonts w:ascii="Times New Roman" w:eastAsia="Calibri" w:hAnsi="Times New Roman" w:cs="Times New Roman"/>
          <w:lang w:val="en-US" w:eastAsia="ar-SA"/>
        </w:rPr>
      </w:pPr>
    </w:p>
    <w:p w14:paraId="5C623782" w14:textId="77777777" w:rsidR="00AF5A7F" w:rsidRPr="004C75E0" w:rsidRDefault="00667168" w:rsidP="00A60BD4">
      <w:pPr>
        <w:pStyle w:val="Heading2"/>
        <w:spacing w:line="360" w:lineRule="auto"/>
        <w:rPr>
          <w:rFonts w:ascii="Times New Roman" w:eastAsia="Calibri" w:hAnsi="Times New Roman" w:cs="Times New Roman"/>
          <w:lang w:val="en-US" w:eastAsia="ar-SA"/>
        </w:rPr>
      </w:pPr>
      <w:bookmarkStart w:id="6" w:name="_Toc458687339"/>
      <w:r w:rsidRPr="004C75E0">
        <w:rPr>
          <w:rFonts w:ascii="Times New Roman" w:eastAsia="Calibri" w:hAnsi="Times New Roman" w:cs="Times New Roman"/>
          <w:lang w:val="en-US" w:eastAsia="ar-SA"/>
        </w:rPr>
        <w:t>1.2</w:t>
      </w:r>
      <w:r w:rsidRPr="004C75E0">
        <w:rPr>
          <w:rFonts w:ascii="Times New Roman" w:eastAsia="Calibri" w:hAnsi="Times New Roman" w:cs="Times New Roman"/>
          <w:lang w:val="en-US" w:eastAsia="ar-SA"/>
        </w:rPr>
        <w:tab/>
      </w:r>
      <w:r w:rsidR="001120A5" w:rsidRPr="004C75E0">
        <w:rPr>
          <w:rFonts w:ascii="Times New Roman" w:eastAsia="Calibri" w:hAnsi="Times New Roman" w:cs="Times New Roman"/>
          <w:lang w:val="en-US" w:eastAsia="ar-SA"/>
        </w:rPr>
        <w:t>Research Questions:</w:t>
      </w:r>
      <w:bookmarkEnd w:id="6"/>
    </w:p>
    <w:p w14:paraId="3EF85204" w14:textId="62747F0C" w:rsidR="001120A5" w:rsidRPr="004C75E0" w:rsidRDefault="00171B76" w:rsidP="00A60BD4">
      <w:pPr>
        <w:spacing w:line="360" w:lineRule="auto"/>
        <w:jc w:val="both"/>
        <w:rPr>
          <w:rFonts w:ascii="Times New Roman" w:hAnsi="Times New Roman" w:cs="Times New Roman"/>
        </w:rPr>
      </w:pPr>
      <w:r w:rsidRPr="004C75E0">
        <w:rPr>
          <w:rFonts w:ascii="Times New Roman" w:hAnsi="Times New Roman" w:cs="Times New Roman"/>
        </w:rPr>
        <w:t>The subject of education</w:t>
      </w:r>
      <w:r w:rsidR="008C2399">
        <w:rPr>
          <w:rFonts w:ascii="Times New Roman" w:hAnsi="Times New Roman" w:cs="Times New Roman"/>
        </w:rPr>
        <w:t xml:space="preserve"> gaps</w:t>
      </w:r>
      <w:r w:rsidRPr="004C75E0">
        <w:rPr>
          <w:rFonts w:ascii="Times New Roman" w:hAnsi="Times New Roman" w:cs="Times New Roman"/>
        </w:rPr>
        <w:t xml:space="preserve"> and financing is broad, beyond the resources and time currently available. </w:t>
      </w:r>
      <w:r w:rsidR="00AF5A7F" w:rsidRPr="004C75E0">
        <w:rPr>
          <w:rFonts w:ascii="Times New Roman" w:hAnsi="Times New Roman" w:cs="Times New Roman"/>
        </w:rPr>
        <w:t>The scope of the study was</w:t>
      </w:r>
      <w:r w:rsidRPr="004C75E0">
        <w:rPr>
          <w:rFonts w:ascii="Times New Roman" w:hAnsi="Times New Roman" w:cs="Times New Roman"/>
        </w:rPr>
        <w:t>, therefore,</w:t>
      </w:r>
      <w:r w:rsidR="001120A5" w:rsidRPr="004C75E0">
        <w:rPr>
          <w:rFonts w:ascii="Times New Roman" w:hAnsi="Times New Roman" w:cs="Times New Roman"/>
        </w:rPr>
        <w:t xml:space="preserve"> restricted to answering the </w:t>
      </w:r>
      <w:r w:rsidR="00222019" w:rsidRPr="004C75E0">
        <w:rPr>
          <w:rFonts w:ascii="Times New Roman" w:hAnsi="Times New Roman" w:cs="Times New Roman"/>
        </w:rPr>
        <w:t>following</w:t>
      </w:r>
      <w:r w:rsidR="00222019">
        <w:rPr>
          <w:rFonts w:ascii="Times New Roman" w:hAnsi="Times New Roman" w:cs="Times New Roman"/>
        </w:rPr>
        <w:t xml:space="preserve"> four key</w:t>
      </w:r>
      <w:r w:rsidR="001120A5" w:rsidRPr="004C75E0">
        <w:rPr>
          <w:rFonts w:ascii="Times New Roman" w:hAnsi="Times New Roman" w:cs="Times New Roman"/>
        </w:rPr>
        <w:t xml:space="preserve"> questions:</w:t>
      </w:r>
    </w:p>
    <w:p w14:paraId="576F2A7C" w14:textId="4EC5D3B9" w:rsidR="001120A5" w:rsidRPr="004C75E0" w:rsidRDefault="001120A5" w:rsidP="00A60BD4">
      <w:pPr>
        <w:spacing w:line="360" w:lineRule="auto"/>
        <w:ind w:left="720" w:hanging="720"/>
        <w:jc w:val="both"/>
        <w:rPr>
          <w:rFonts w:ascii="Times New Roman" w:hAnsi="Times New Roman" w:cs="Times New Roman"/>
        </w:rPr>
      </w:pPr>
      <w:r w:rsidRPr="004C75E0">
        <w:rPr>
          <w:rFonts w:ascii="Times New Roman" w:hAnsi="Times New Roman" w:cs="Times New Roman"/>
        </w:rPr>
        <w:t>(1)</w:t>
      </w:r>
      <w:r w:rsidRPr="004C75E0">
        <w:rPr>
          <w:rFonts w:ascii="Times New Roman" w:hAnsi="Times New Roman" w:cs="Times New Roman"/>
        </w:rPr>
        <w:tab/>
        <w:t>What are the current trends in progress towards achieving</w:t>
      </w:r>
      <w:r w:rsidR="00222019">
        <w:rPr>
          <w:rFonts w:ascii="Times New Roman" w:hAnsi="Times New Roman" w:cs="Times New Roman"/>
        </w:rPr>
        <w:t xml:space="preserve"> EFA/related MDGs in Zambia and what gaps remain?</w:t>
      </w:r>
    </w:p>
    <w:p w14:paraId="5EBDB861" w14:textId="2A3AE78C" w:rsidR="001120A5" w:rsidRPr="004C75E0" w:rsidRDefault="00222019" w:rsidP="00A60BD4">
      <w:pPr>
        <w:spacing w:line="360" w:lineRule="auto"/>
        <w:ind w:left="720" w:hanging="72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t>What have been associated patterns and mechanisms in domestic education financing of EFA/related MDGs in Zambia?</w:t>
      </w:r>
    </w:p>
    <w:p w14:paraId="5E4811B0" w14:textId="77777777" w:rsidR="00222019" w:rsidRDefault="001120A5" w:rsidP="00222019">
      <w:pPr>
        <w:spacing w:line="360" w:lineRule="auto"/>
        <w:ind w:left="720" w:hanging="720"/>
        <w:jc w:val="both"/>
        <w:rPr>
          <w:rFonts w:ascii="Times New Roman" w:hAnsi="Times New Roman" w:cs="Times New Roman"/>
        </w:rPr>
      </w:pPr>
      <w:r w:rsidRPr="004C75E0">
        <w:rPr>
          <w:rFonts w:ascii="Times New Roman" w:hAnsi="Times New Roman" w:cs="Times New Roman"/>
        </w:rPr>
        <w:t>(3)</w:t>
      </w:r>
      <w:r w:rsidRPr="004C75E0">
        <w:rPr>
          <w:rFonts w:ascii="Times New Roman" w:hAnsi="Times New Roman" w:cs="Times New Roman"/>
        </w:rPr>
        <w:tab/>
        <w:t>What</w:t>
      </w:r>
      <w:r w:rsidR="00222019">
        <w:rPr>
          <w:rFonts w:ascii="Times New Roman" w:hAnsi="Times New Roman" w:cs="Times New Roman"/>
        </w:rPr>
        <w:t xml:space="preserve"> options exist for optimising domestic revenue mobilisation for the advancement of inclusive quality education in Zambia?</w:t>
      </w:r>
    </w:p>
    <w:p w14:paraId="43164979" w14:textId="6FD1E941" w:rsidR="00222019" w:rsidRPr="004C75E0" w:rsidRDefault="00222019" w:rsidP="00FB60EB">
      <w:pPr>
        <w:spacing w:line="360" w:lineRule="auto"/>
        <w:ind w:left="720" w:hanging="720"/>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001120A5" w:rsidRPr="004C75E0">
        <w:rPr>
          <w:rFonts w:ascii="Times New Roman" w:hAnsi="Times New Roman" w:cs="Times New Roman"/>
        </w:rPr>
        <w:t xml:space="preserve">What </w:t>
      </w:r>
      <w:r>
        <w:rPr>
          <w:rFonts w:ascii="Times New Roman" w:hAnsi="Times New Roman" w:cs="Times New Roman"/>
        </w:rPr>
        <w:t xml:space="preserve">policy and </w:t>
      </w:r>
      <w:r w:rsidR="001120A5" w:rsidRPr="004C75E0">
        <w:rPr>
          <w:rFonts w:ascii="Times New Roman" w:hAnsi="Times New Roman" w:cs="Times New Roman"/>
        </w:rPr>
        <w:t>actio</w:t>
      </w:r>
      <w:r>
        <w:rPr>
          <w:rFonts w:ascii="Times New Roman" w:hAnsi="Times New Roman" w:cs="Times New Roman"/>
        </w:rPr>
        <w:t>n-focussed interventions are</w:t>
      </w:r>
      <w:r w:rsidR="001120A5" w:rsidRPr="004C75E0">
        <w:rPr>
          <w:rFonts w:ascii="Times New Roman" w:hAnsi="Times New Roman" w:cs="Times New Roman"/>
        </w:rPr>
        <w:t xml:space="preserve"> required to ensure inclusive quality education</w:t>
      </w:r>
      <w:r>
        <w:rPr>
          <w:rFonts w:ascii="Times New Roman" w:hAnsi="Times New Roman" w:cs="Times New Roman"/>
        </w:rPr>
        <w:t xml:space="preserve"> in future?</w:t>
      </w:r>
    </w:p>
    <w:p w14:paraId="061B8DCE" w14:textId="77777777" w:rsidR="001120A5" w:rsidRPr="004C75E0" w:rsidRDefault="00055FD3" w:rsidP="00A60BD4">
      <w:pPr>
        <w:keepNext/>
        <w:keepLines/>
        <w:spacing w:before="40" w:after="0" w:line="360" w:lineRule="auto"/>
        <w:outlineLvl w:val="1"/>
        <w:rPr>
          <w:rFonts w:ascii="Times New Roman" w:eastAsia="Calibri" w:hAnsi="Times New Roman" w:cs="Times New Roman"/>
          <w:color w:val="2E74B5" w:themeColor="accent1" w:themeShade="BF"/>
          <w:sz w:val="26"/>
          <w:szCs w:val="26"/>
          <w:lang w:val="en-US" w:eastAsia="ar-SA"/>
        </w:rPr>
      </w:pPr>
      <w:bookmarkStart w:id="7" w:name="_Toc434933508"/>
      <w:bookmarkStart w:id="8" w:name="_Toc458687340"/>
      <w:r w:rsidRPr="004C75E0">
        <w:rPr>
          <w:rFonts w:ascii="Times New Roman" w:eastAsia="Calibri" w:hAnsi="Times New Roman" w:cs="Times New Roman"/>
          <w:color w:val="2E74B5" w:themeColor="accent1" w:themeShade="BF"/>
          <w:sz w:val="26"/>
          <w:szCs w:val="26"/>
          <w:lang w:val="en-IE" w:eastAsia="ar-SA"/>
        </w:rPr>
        <w:t>1.3</w:t>
      </w:r>
      <w:r w:rsidR="001120A5" w:rsidRPr="004C75E0">
        <w:rPr>
          <w:rFonts w:ascii="Times New Roman" w:eastAsia="Calibri" w:hAnsi="Times New Roman" w:cs="Times New Roman"/>
          <w:color w:val="2E74B5" w:themeColor="accent1" w:themeShade="BF"/>
          <w:sz w:val="26"/>
          <w:szCs w:val="26"/>
          <w:lang w:val="en-IE" w:eastAsia="ar-SA"/>
        </w:rPr>
        <w:tab/>
        <w:t>Objectives of the Study</w:t>
      </w:r>
      <w:bookmarkEnd w:id="7"/>
      <w:bookmarkEnd w:id="8"/>
      <w:r w:rsidR="001120A5" w:rsidRPr="004C75E0">
        <w:rPr>
          <w:rFonts w:ascii="Times New Roman" w:eastAsia="Calibri" w:hAnsi="Times New Roman" w:cs="Times New Roman"/>
          <w:color w:val="2E74B5" w:themeColor="accent1" w:themeShade="BF"/>
          <w:sz w:val="26"/>
          <w:szCs w:val="26"/>
          <w:lang w:val="en-IE" w:eastAsia="ar-SA"/>
        </w:rPr>
        <w:t xml:space="preserve"> </w:t>
      </w:r>
    </w:p>
    <w:p w14:paraId="6A1BCDDB" w14:textId="170EE8F4" w:rsidR="001120A5" w:rsidRPr="004C75E0" w:rsidRDefault="001120A5" w:rsidP="00A60BD4">
      <w:pPr>
        <w:suppressAutoHyphens/>
        <w:spacing w:after="0" w:line="360" w:lineRule="auto"/>
        <w:jc w:val="both"/>
        <w:rPr>
          <w:rFonts w:ascii="Times New Roman" w:eastAsia="Calibri" w:hAnsi="Times New Roman" w:cs="Times New Roman"/>
          <w:lang w:val="en-US" w:eastAsia="ar-SA"/>
        </w:rPr>
      </w:pPr>
      <w:r w:rsidRPr="004C75E0">
        <w:rPr>
          <w:rFonts w:ascii="Times New Roman" w:eastAsia="Calibri" w:hAnsi="Times New Roman" w:cs="Times New Roman"/>
          <w:lang w:val="en-US" w:eastAsia="ar-SA"/>
        </w:rPr>
        <w:t>The o</w:t>
      </w:r>
      <w:r w:rsidR="00667168" w:rsidRPr="004C75E0">
        <w:rPr>
          <w:rFonts w:ascii="Times New Roman" w:eastAsia="Calibri" w:hAnsi="Times New Roman" w:cs="Times New Roman"/>
          <w:lang w:val="en-US" w:eastAsia="ar-SA"/>
        </w:rPr>
        <w:t>verall objective of the study was</w:t>
      </w:r>
      <w:r w:rsidRPr="004C75E0">
        <w:rPr>
          <w:rFonts w:ascii="Times New Roman" w:eastAsia="Calibri" w:hAnsi="Times New Roman" w:cs="Times New Roman"/>
          <w:lang w:val="en-US" w:eastAsia="ar-SA"/>
        </w:rPr>
        <w:t xml:space="preserve"> to</w:t>
      </w:r>
      <w:r w:rsidR="003B4E7B">
        <w:rPr>
          <w:rFonts w:ascii="Times New Roman" w:eastAsia="Calibri" w:hAnsi="Times New Roman" w:cs="Times New Roman"/>
          <w:lang w:val="en-US" w:eastAsia="ar-SA"/>
        </w:rPr>
        <w:t xml:space="preserve"> understand education gaps and associated domestic financing patterns in the context of EFA/related MDGs in Zambia. The underlying motivation was to provide evidence for articulating policy positions and an informed civil society advocacy agenda</w:t>
      </w:r>
      <w:r w:rsidRPr="004C75E0">
        <w:rPr>
          <w:rFonts w:ascii="Times New Roman" w:eastAsia="Calibri" w:hAnsi="Times New Roman" w:cs="Times New Roman"/>
          <w:lang w:val="en-US" w:eastAsia="ar-SA"/>
        </w:rPr>
        <w:t>. More specific</w:t>
      </w:r>
      <w:r w:rsidR="00667168" w:rsidRPr="004C75E0">
        <w:rPr>
          <w:rFonts w:ascii="Times New Roman" w:eastAsia="Calibri" w:hAnsi="Times New Roman" w:cs="Times New Roman"/>
          <w:lang w:val="en-US" w:eastAsia="ar-SA"/>
        </w:rPr>
        <w:t>ally, the study’s objectives were</w:t>
      </w:r>
      <w:r w:rsidRPr="004C75E0">
        <w:rPr>
          <w:rFonts w:ascii="Times New Roman" w:eastAsia="Calibri" w:hAnsi="Times New Roman" w:cs="Times New Roman"/>
          <w:lang w:val="en-US" w:eastAsia="ar-SA"/>
        </w:rPr>
        <w:t xml:space="preserve"> as follows: </w:t>
      </w:r>
    </w:p>
    <w:p w14:paraId="47B54956" w14:textId="77777777" w:rsidR="001120A5" w:rsidRPr="004C75E0" w:rsidRDefault="001120A5" w:rsidP="00A60BD4">
      <w:pPr>
        <w:suppressAutoHyphens/>
        <w:spacing w:after="0" w:line="360" w:lineRule="auto"/>
        <w:jc w:val="both"/>
        <w:rPr>
          <w:rFonts w:ascii="Times New Roman" w:eastAsia="Calibri" w:hAnsi="Times New Roman" w:cs="Times New Roman"/>
          <w:lang w:val="en-US" w:eastAsia="ar-SA"/>
        </w:rPr>
      </w:pPr>
    </w:p>
    <w:p w14:paraId="170E218C" w14:textId="36A71485" w:rsidR="003B4E7B" w:rsidRPr="004C75E0" w:rsidRDefault="00072C06" w:rsidP="003B4E7B">
      <w:pPr>
        <w:spacing w:line="360" w:lineRule="auto"/>
        <w:ind w:left="720" w:hanging="720"/>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t>To identify and analyse gaps</w:t>
      </w:r>
      <w:r w:rsidR="003B4E7B" w:rsidRPr="004C75E0">
        <w:rPr>
          <w:rFonts w:ascii="Times New Roman" w:hAnsi="Times New Roman" w:cs="Times New Roman"/>
        </w:rPr>
        <w:t xml:space="preserve"> in progress towards achieving</w:t>
      </w:r>
      <w:r>
        <w:rPr>
          <w:rFonts w:ascii="Times New Roman" w:hAnsi="Times New Roman" w:cs="Times New Roman"/>
        </w:rPr>
        <w:t xml:space="preserve"> education for all and </w:t>
      </w:r>
      <w:r w:rsidR="003B4E7B">
        <w:rPr>
          <w:rFonts w:ascii="Times New Roman" w:hAnsi="Times New Roman" w:cs="Times New Roman"/>
        </w:rPr>
        <w:t>related MDGs</w:t>
      </w:r>
      <w:r>
        <w:rPr>
          <w:rFonts w:ascii="Times New Roman" w:hAnsi="Times New Roman" w:cs="Times New Roman"/>
        </w:rPr>
        <w:t xml:space="preserve"> in Zambia.</w:t>
      </w:r>
    </w:p>
    <w:p w14:paraId="1429C257" w14:textId="67D17614" w:rsidR="003B4E7B" w:rsidRPr="004C75E0" w:rsidRDefault="003B4E7B" w:rsidP="003B4E7B">
      <w:pPr>
        <w:spacing w:line="360" w:lineRule="auto"/>
        <w:ind w:left="720" w:hanging="72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072C06">
        <w:rPr>
          <w:rFonts w:ascii="Times New Roman" w:hAnsi="Times New Roman" w:cs="Times New Roman"/>
        </w:rPr>
        <w:t>To examine patterns and mechanisms of</w:t>
      </w:r>
      <w:r>
        <w:rPr>
          <w:rFonts w:ascii="Times New Roman" w:hAnsi="Times New Roman" w:cs="Times New Roman"/>
        </w:rPr>
        <w:t xml:space="preserve"> </w:t>
      </w:r>
      <w:r w:rsidR="00072C06">
        <w:rPr>
          <w:rFonts w:ascii="Times New Roman" w:hAnsi="Times New Roman" w:cs="Times New Roman"/>
        </w:rPr>
        <w:t>domestic</w:t>
      </w:r>
      <w:r>
        <w:rPr>
          <w:rFonts w:ascii="Times New Roman" w:hAnsi="Times New Roman" w:cs="Times New Roman"/>
        </w:rPr>
        <w:t xml:space="preserve"> financing of</w:t>
      </w:r>
      <w:r w:rsidR="00072C06">
        <w:rPr>
          <w:rFonts w:ascii="Times New Roman" w:hAnsi="Times New Roman" w:cs="Times New Roman"/>
        </w:rPr>
        <w:t xml:space="preserve"> education</w:t>
      </w:r>
      <w:r w:rsidR="001920E9">
        <w:rPr>
          <w:rFonts w:ascii="Times New Roman" w:hAnsi="Times New Roman" w:cs="Times New Roman"/>
        </w:rPr>
        <w:t xml:space="preserve"> in Zambia.</w:t>
      </w:r>
    </w:p>
    <w:p w14:paraId="21114C37" w14:textId="7DF23D94" w:rsidR="003B4E7B" w:rsidRDefault="00072C06" w:rsidP="003B4E7B">
      <w:pPr>
        <w:spacing w:line="360" w:lineRule="auto"/>
        <w:ind w:left="720" w:hanging="7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t>To identify</w:t>
      </w:r>
      <w:r w:rsidR="003B4E7B">
        <w:rPr>
          <w:rFonts w:ascii="Times New Roman" w:hAnsi="Times New Roman" w:cs="Times New Roman"/>
        </w:rPr>
        <w:t xml:space="preserve"> </w:t>
      </w:r>
      <w:r>
        <w:rPr>
          <w:rFonts w:ascii="Times New Roman" w:hAnsi="Times New Roman" w:cs="Times New Roman"/>
        </w:rPr>
        <w:t xml:space="preserve">policy </w:t>
      </w:r>
      <w:r w:rsidR="003B4E7B">
        <w:rPr>
          <w:rFonts w:ascii="Times New Roman" w:hAnsi="Times New Roman" w:cs="Times New Roman"/>
        </w:rPr>
        <w:t>options</w:t>
      </w:r>
      <w:r>
        <w:rPr>
          <w:rFonts w:ascii="Times New Roman" w:hAnsi="Times New Roman" w:cs="Times New Roman"/>
        </w:rPr>
        <w:t xml:space="preserve"> </w:t>
      </w:r>
      <w:r w:rsidR="003B4E7B">
        <w:rPr>
          <w:rFonts w:ascii="Times New Roman" w:hAnsi="Times New Roman" w:cs="Times New Roman"/>
        </w:rPr>
        <w:t>for optimising domestic revenue mobilisation for the advancement of inclusiv</w:t>
      </w:r>
      <w:r w:rsidR="001920E9">
        <w:rPr>
          <w:rFonts w:ascii="Times New Roman" w:hAnsi="Times New Roman" w:cs="Times New Roman"/>
        </w:rPr>
        <w:t>e quality education in Zambia.</w:t>
      </w:r>
    </w:p>
    <w:p w14:paraId="144894DA" w14:textId="51314955" w:rsidR="001920E9" w:rsidRDefault="003B4E7B" w:rsidP="001920E9">
      <w:pPr>
        <w:spacing w:line="360" w:lineRule="auto"/>
        <w:ind w:left="720" w:hanging="720"/>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00072C06">
        <w:rPr>
          <w:rFonts w:ascii="Times New Roman" w:hAnsi="Times New Roman" w:cs="Times New Roman"/>
        </w:rPr>
        <w:t>To recommend</w:t>
      </w:r>
      <w:r>
        <w:rPr>
          <w:rFonts w:ascii="Times New Roman" w:hAnsi="Times New Roman" w:cs="Times New Roman"/>
        </w:rPr>
        <w:t xml:space="preserve"> </w:t>
      </w:r>
      <w:r w:rsidRPr="004C75E0">
        <w:rPr>
          <w:rFonts w:ascii="Times New Roman" w:hAnsi="Times New Roman" w:cs="Times New Roman"/>
        </w:rPr>
        <w:t>actio</w:t>
      </w:r>
      <w:r>
        <w:rPr>
          <w:rFonts w:ascii="Times New Roman" w:hAnsi="Times New Roman" w:cs="Times New Roman"/>
        </w:rPr>
        <w:t>n-focussed interventions</w:t>
      </w:r>
      <w:r w:rsidR="00072C06">
        <w:rPr>
          <w:rFonts w:ascii="Times New Roman" w:hAnsi="Times New Roman" w:cs="Times New Roman"/>
        </w:rPr>
        <w:t xml:space="preserve"> and </w:t>
      </w:r>
      <w:r w:rsidR="001920E9">
        <w:rPr>
          <w:rFonts w:ascii="Times New Roman" w:hAnsi="Times New Roman" w:cs="Times New Roman"/>
        </w:rPr>
        <w:t xml:space="preserve">strategic communication </w:t>
      </w:r>
      <w:r w:rsidR="00072C06">
        <w:rPr>
          <w:rFonts w:ascii="Times New Roman" w:hAnsi="Times New Roman" w:cs="Times New Roman"/>
        </w:rPr>
        <w:t>messages for</w:t>
      </w:r>
      <w:r w:rsidR="001920E9">
        <w:rPr>
          <w:rFonts w:ascii="Times New Roman" w:hAnsi="Times New Roman" w:cs="Times New Roman"/>
        </w:rPr>
        <w:t xml:space="preserve"> informing a civil society advocacy agenda on</w:t>
      </w:r>
      <w:r w:rsidRPr="004C75E0">
        <w:rPr>
          <w:rFonts w:ascii="Times New Roman" w:hAnsi="Times New Roman" w:cs="Times New Roman"/>
        </w:rPr>
        <w:t xml:space="preserve"> inclusive quality education</w:t>
      </w:r>
      <w:r w:rsidR="001920E9">
        <w:rPr>
          <w:rFonts w:ascii="Times New Roman" w:hAnsi="Times New Roman" w:cs="Times New Roman"/>
        </w:rPr>
        <w:t xml:space="preserve"> in the context of agenda 2030.</w:t>
      </w:r>
    </w:p>
    <w:p w14:paraId="632F158E" w14:textId="273756BE" w:rsidR="001120A5" w:rsidRPr="001920E9" w:rsidRDefault="001120A5" w:rsidP="001920E9">
      <w:pPr>
        <w:spacing w:line="360" w:lineRule="auto"/>
        <w:ind w:left="720" w:hanging="720"/>
        <w:jc w:val="both"/>
        <w:rPr>
          <w:rFonts w:ascii="Times New Roman" w:hAnsi="Times New Roman" w:cs="Times New Roman"/>
        </w:rPr>
      </w:pPr>
      <w:r w:rsidRPr="004C75E0">
        <w:rPr>
          <w:rFonts w:ascii="Times New Roman" w:eastAsia="Calibri" w:hAnsi="Times New Roman" w:cs="Times New Roman"/>
          <w:lang w:val="en-US" w:eastAsia="ar-SA"/>
        </w:rPr>
        <w:t xml:space="preserve">    </w:t>
      </w:r>
    </w:p>
    <w:p w14:paraId="205AD0E3" w14:textId="77777777" w:rsidR="00055FD3" w:rsidRPr="004C75E0" w:rsidRDefault="00055FD3" w:rsidP="004C75E0">
      <w:pPr>
        <w:pStyle w:val="Heading2"/>
        <w:spacing w:line="360" w:lineRule="auto"/>
        <w:rPr>
          <w:rFonts w:ascii="Times New Roman" w:hAnsi="Times New Roman" w:cs="Times New Roman"/>
        </w:rPr>
      </w:pPr>
      <w:bookmarkStart w:id="9" w:name="_Toc434933512"/>
      <w:bookmarkStart w:id="10" w:name="_Toc458687341"/>
      <w:r w:rsidRPr="004C75E0">
        <w:rPr>
          <w:rFonts w:ascii="Times New Roman" w:hAnsi="Times New Roman" w:cs="Times New Roman"/>
        </w:rPr>
        <w:t>1.4</w:t>
      </w:r>
      <w:r w:rsidR="001120A5" w:rsidRPr="004C75E0">
        <w:rPr>
          <w:rFonts w:ascii="Times New Roman" w:hAnsi="Times New Roman" w:cs="Times New Roman"/>
        </w:rPr>
        <w:tab/>
        <w:t>Methodolog</w:t>
      </w:r>
      <w:bookmarkEnd w:id="9"/>
      <w:r w:rsidR="00D35387" w:rsidRPr="004C75E0">
        <w:rPr>
          <w:rFonts w:ascii="Times New Roman" w:hAnsi="Times New Roman" w:cs="Times New Roman"/>
        </w:rPr>
        <w:t>y of the Study</w:t>
      </w:r>
      <w:bookmarkStart w:id="11" w:name="_Toc434933513"/>
      <w:bookmarkEnd w:id="10"/>
    </w:p>
    <w:p w14:paraId="59EDF971" w14:textId="77777777" w:rsidR="00802695" w:rsidRDefault="00802695" w:rsidP="00A60BD4">
      <w:pPr>
        <w:pStyle w:val="Heading3"/>
        <w:spacing w:line="360" w:lineRule="auto"/>
        <w:rPr>
          <w:rFonts w:ascii="Times New Roman" w:hAnsi="Times New Roman" w:cs="Times New Roman"/>
        </w:rPr>
      </w:pPr>
    </w:p>
    <w:p w14:paraId="570C684F" w14:textId="7F042FE1" w:rsidR="001120A5" w:rsidRPr="004C75E0" w:rsidRDefault="00055FD3" w:rsidP="00A60BD4">
      <w:pPr>
        <w:pStyle w:val="Heading3"/>
        <w:spacing w:line="360" w:lineRule="auto"/>
        <w:rPr>
          <w:rFonts w:ascii="Times New Roman" w:hAnsi="Times New Roman" w:cs="Times New Roman"/>
        </w:rPr>
      </w:pPr>
      <w:bookmarkStart w:id="12" w:name="_Toc458687342"/>
      <w:r w:rsidRPr="004C75E0">
        <w:rPr>
          <w:rFonts w:ascii="Times New Roman" w:hAnsi="Times New Roman" w:cs="Times New Roman"/>
        </w:rPr>
        <w:t>1.4</w:t>
      </w:r>
      <w:r w:rsidR="003D3DE2" w:rsidRPr="004C75E0">
        <w:rPr>
          <w:rFonts w:ascii="Times New Roman" w:hAnsi="Times New Roman" w:cs="Times New Roman"/>
        </w:rPr>
        <w:t>.1</w:t>
      </w:r>
      <w:r w:rsidR="00E02854" w:rsidRPr="004C75E0">
        <w:rPr>
          <w:rFonts w:ascii="Times New Roman" w:hAnsi="Times New Roman" w:cs="Times New Roman"/>
        </w:rPr>
        <w:tab/>
        <w:t>Methodological Framework</w:t>
      </w:r>
      <w:bookmarkEnd w:id="11"/>
      <w:bookmarkEnd w:id="12"/>
    </w:p>
    <w:p w14:paraId="120A825B" w14:textId="77777777" w:rsidR="00FC51CA" w:rsidRPr="004C75E0" w:rsidRDefault="00E02854" w:rsidP="00A60BD4">
      <w:pPr>
        <w:spacing w:line="360" w:lineRule="auto"/>
        <w:jc w:val="both"/>
        <w:rPr>
          <w:rFonts w:ascii="Times New Roman" w:hAnsi="Times New Roman" w:cs="Times New Roman"/>
        </w:rPr>
      </w:pPr>
      <w:r w:rsidRPr="004C75E0">
        <w:rPr>
          <w:rFonts w:ascii="Times New Roman" w:hAnsi="Times New Roman" w:cs="Times New Roman"/>
        </w:rPr>
        <w:t xml:space="preserve">The study was anchored in the updated UNICEF SitAN Model (2013) that adopts a human rights framework and assumes that rights are interdependent and interrelated.  The realisation of one right often depends, wholly, or in part on the realisation of others. </w:t>
      </w:r>
      <w:r w:rsidR="001120A5" w:rsidRPr="004C75E0">
        <w:rPr>
          <w:rFonts w:ascii="Times New Roman" w:hAnsi="Times New Roman" w:cs="Times New Roman"/>
        </w:rPr>
        <w:t>Given tha</w:t>
      </w:r>
      <w:r w:rsidR="00D52F1F" w:rsidRPr="004C75E0">
        <w:rPr>
          <w:rFonts w:ascii="Times New Roman" w:hAnsi="Times New Roman" w:cs="Times New Roman"/>
        </w:rPr>
        <w:t>t a key objective of the study wa</w:t>
      </w:r>
      <w:r w:rsidR="001120A5" w:rsidRPr="004C75E0">
        <w:rPr>
          <w:rFonts w:ascii="Times New Roman" w:hAnsi="Times New Roman" w:cs="Times New Roman"/>
        </w:rPr>
        <w:t>s to provide a situation analysis around education and the financing of it in Zambia, t</w:t>
      </w:r>
      <w:r w:rsidRPr="004C75E0">
        <w:rPr>
          <w:rFonts w:ascii="Times New Roman" w:hAnsi="Times New Roman" w:cs="Times New Roman"/>
        </w:rPr>
        <w:t>he methodological process</w:t>
      </w:r>
      <w:r w:rsidR="001120A5" w:rsidRPr="004C75E0">
        <w:rPr>
          <w:rFonts w:ascii="Times New Roman" w:hAnsi="Times New Roman" w:cs="Times New Roman"/>
        </w:rPr>
        <w:t xml:space="preserve"> follow</w:t>
      </w:r>
      <w:r w:rsidRPr="004C75E0">
        <w:rPr>
          <w:rFonts w:ascii="Times New Roman" w:hAnsi="Times New Roman" w:cs="Times New Roman"/>
        </w:rPr>
        <w:t>ed</w:t>
      </w:r>
      <w:r w:rsidR="001120A5" w:rsidRPr="004C75E0">
        <w:rPr>
          <w:rFonts w:ascii="Times New Roman" w:hAnsi="Times New Roman" w:cs="Times New Roman"/>
        </w:rPr>
        <w:t xml:space="preserve"> along the steps indicated in the UNICEF’s guidance on conducting Situation Analysis of Children and Women’s Rights (2011), and use</w:t>
      </w:r>
      <w:r w:rsidRPr="004C75E0">
        <w:rPr>
          <w:rFonts w:ascii="Times New Roman" w:hAnsi="Times New Roman" w:cs="Times New Roman"/>
        </w:rPr>
        <w:t>d</w:t>
      </w:r>
      <w:r w:rsidR="001120A5" w:rsidRPr="004C75E0">
        <w:rPr>
          <w:rFonts w:ascii="Times New Roman" w:hAnsi="Times New Roman" w:cs="Times New Roman"/>
        </w:rPr>
        <w:t xml:space="preserve"> some insights from its Global Assessment on Situation Analysis of Children and Women’s </w:t>
      </w:r>
      <w:r w:rsidRPr="004C75E0">
        <w:rPr>
          <w:rFonts w:ascii="Times New Roman" w:hAnsi="Times New Roman" w:cs="Times New Roman"/>
        </w:rPr>
        <w:t xml:space="preserve">rights (2012). </w:t>
      </w:r>
    </w:p>
    <w:p w14:paraId="3837A6DD" w14:textId="12730957" w:rsidR="001120A5" w:rsidRPr="004C75E0" w:rsidRDefault="00E02854" w:rsidP="00A60BD4">
      <w:pPr>
        <w:spacing w:line="360" w:lineRule="auto"/>
        <w:jc w:val="both"/>
        <w:rPr>
          <w:rFonts w:ascii="Times New Roman" w:hAnsi="Times New Roman" w:cs="Times New Roman"/>
        </w:rPr>
      </w:pPr>
      <w:r w:rsidRPr="004C75E0">
        <w:rPr>
          <w:rFonts w:ascii="Times New Roman" w:hAnsi="Times New Roman" w:cs="Times New Roman"/>
        </w:rPr>
        <w:t xml:space="preserve">Thus, </w:t>
      </w:r>
      <w:r w:rsidR="00BA1746">
        <w:rPr>
          <w:rFonts w:ascii="Times New Roman" w:hAnsi="Times New Roman" w:cs="Times New Roman"/>
        </w:rPr>
        <w:t xml:space="preserve">in the </w:t>
      </w:r>
      <w:r w:rsidRPr="004C75E0">
        <w:rPr>
          <w:rFonts w:ascii="Times New Roman" w:hAnsi="Times New Roman" w:cs="Times New Roman"/>
        </w:rPr>
        <w:t>first</w:t>
      </w:r>
      <w:r w:rsidR="00BA1746">
        <w:rPr>
          <w:rFonts w:ascii="Times New Roman" w:hAnsi="Times New Roman" w:cs="Times New Roman"/>
        </w:rPr>
        <w:t xml:space="preserve"> instance,</w:t>
      </w:r>
      <w:r w:rsidRPr="004C75E0">
        <w:rPr>
          <w:rFonts w:ascii="Times New Roman" w:hAnsi="Times New Roman" w:cs="Times New Roman"/>
        </w:rPr>
        <w:t xml:space="preserve"> the</w:t>
      </w:r>
      <w:r w:rsidR="00827EEC" w:rsidRPr="004C75E0">
        <w:rPr>
          <w:rFonts w:ascii="Times New Roman" w:hAnsi="Times New Roman" w:cs="Times New Roman"/>
        </w:rPr>
        <w:t xml:space="preserve"> study conducted an assessment of how contextual factors (i.e., economic, social and political) influence education outcomes in the country.</w:t>
      </w:r>
      <w:r w:rsidRPr="004C75E0">
        <w:rPr>
          <w:rFonts w:ascii="Times New Roman" w:hAnsi="Times New Roman" w:cs="Times New Roman"/>
        </w:rPr>
        <w:t xml:space="preserve"> </w:t>
      </w:r>
      <w:r w:rsidR="00827EEC" w:rsidRPr="004C75E0">
        <w:rPr>
          <w:rFonts w:ascii="Times New Roman" w:hAnsi="Times New Roman" w:cs="Times New Roman"/>
        </w:rPr>
        <w:t xml:space="preserve">Second, the </w:t>
      </w:r>
      <w:r w:rsidRPr="004C75E0">
        <w:rPr>
          <w:rFonts w:ascii="Times New Roman" w:hAnsi="Times New Roman" w:cs="Times New Roman"/>
        </w:rPr>
        <w:t>study</w:t>
      </w:r>
      <w:r w:rsidR="001120A5" w:rsidRPr="004C75E0">
        <w:rPr>
          <w:rFonts w:ascii="Times New Roman" w:hAnsi="Times New Roman" w:cs="Times New Roman"/>
        </w:rPr>
        <w:t xml:space="preserve"> conduct</w:t>
      </w:r>
      <w:r w:rsidRPr="004C75E0">
        <w:rPr>
          <w:rFonts w:ascii="Times New Roman" w:hAnsi="Times New Roman" w:cs="Times New Roman"/>
        </w:rPr>
        <w:t>ed</w:t>
      </w:r>
      <w:r w:rsidR="001120A5" w:rsidRPr="004C75E0">
        <w:rPr>
          <w:rFonts w:ascii="Times New Roman" w:hAnsi="Times New Roman" w:cs="Times New Roman"/>
        </w:rPr>
        <w:t xml:space="preserve"> assessments of the manifestations of education gaps and inequalities in access to education, based on the materials a</w:t>
      </w:r>
      <w:r w:rsidR="00827EEC" w:rsidRPr="004C75E0">
        <w:rPr>
          <w:rFonts w:ascii="Times New Roman" w:hAnsi="Times New Roman" w:cs="Times New Roman"/>
        </w:rPr>
        <w:t>vailable in the country during the EFA/MDG implementation period. This involved an analysis of</w:t>
      </w:r>
      <w:r w:rsidR="00FC51CA" w:rsidRPr="004C75E0">
        <w:rPr>
          <w:rFonts w:ascii="Times New Roman" w:hAnsi="Times New Roman" w:cs="Times New Roman"/>
        </w:rPr>
        <w:t xml:space="preserve"> current trends in progress towards achieving full enrolment, retention and quality education for marginalised children.</w:t>
      </w:r>
      <w:r w:rsidR="00827EEC" w:rsidRPr="004C75E0">
        <w:rPr>
          <w:rFonts w:ascii="Times New Roman" w:hAnsi="Times New Roman" w:cs="Times New Roman"/>
        </w:rPr>
        <w:t xml:space="preserve"> This was then followed </w:t>
      </w:r>
      <w:r w:rsidR="001120A5" w:rsidRPr="004C75E0">
        <w:rPr>
          <w:rFonts w:ascii="Times New Roman" w:hAnsi="Times New Roman" w:cs="Times New Roman"/>
        </w:rPr>
        <w:t>with an analysis of current trends in the size, sources and priorities of domestic education financing with a view to assessing their adequacy towards achieving full enrolment, retention and quality education for marginalised children and th</w:t>
      </w:r>
      <w:r w:rsidR="00FC51CA" w:rsidRPr="004C75E0">
        <w:rPr>
          <w:rFonts w:ascii="Times New Roman" w:hAnsi="Times New Roman" w:cs="Times New Roman"/>
        </w:rPr>
        <w:t>e achievement of EFA/</w:t>
      </w:r>
      <w:r w:rsidR="001120A5" w:rsidRPr="004C75E0">
        <w:rPr>
          <w:rFonts w:ascii="Times New Roman" w:hAnsi="Times New Roman" w:cs="Times New Roman"/>
        </w:rPr>
        <w:t xml:space="preserve">MDGs and Education 2030. </w:t>
      </w:r>
      <w:r w:rsidR="00FC51CA" w:rsidRPr="004C75E0">
        <w:rPr>
          <w:rFonts w:ascii="Times New Roman" w:hAnsi="Times New Roman" w:cs="Times New Roman"/>
        </w:rPr>
        <w:t xml:space="preserve">Altogether, the </w:t>
      </w:r>
      <w:r w:rsidR="001120A5" w:rsidRPr="004C75E0">
        <w:rPr>
          <w:rFonts w:ascii="Times New Roman" w:hAnsi="Times New Roman" w:cs="Times New Roman"/>
        </w:rPr>
        <w:t>focus</w:t>
      </w:r>
      <w:r w:rsidR="00FC51CA" w:rsidRPr="004C75E0">
        <w:rPr>
          <w:rFonts w:ascii="Times New Roman" w:hAnsi="Times New Roman" w:cs="Times New Roman"/>
        </w:rPr>
        <w:t xml:space="preserve"> was on </w:t>
      </w:r>
      <w:r w:rsidR="001120A5" w:rsidRPr="004C75E0">
        <w:rPr>
          <w:rFonts w:ascii="Times New Roman" w:hAnsi="Times New Roman" w:cs="Times New Roman"/>
        </w:rPr>
        <w:t>identifying critical education gaps and challenges in education financing, to tell the story, to explain the situation of marginalised children</w:t>
      </w:r>
      <w:r w:rsidR="00FC51CA" w:rsidRPr="004C75E0">
        <w:rPr>
          <w:rFonts w:ascii="Times New Roman" w:hAnsi="Times New Roman" w:cs="Times New Roman"/>
        </w:rPr>
        <w:t xml:space="preserve"> as it exi</w:t>
      </w:r>
      <w:r w:rsidR="00BA52E1">
        <w:rPr>
          <w:rFonts w:ascii="Times New Roman" w:hAnsi="Times New Roman" w:cs="Times New Roman"/>
        </w:rPr>
        <w:t>s</w:t>
      </w:r>
      <w:r w:rsidR="00FC51CA" w:rsidRPr="004C75E0">
        <w:rPr>
          <w:rFonts w:ascii="Times New Roman" w:hAnsi="Times New Roman" w:cs="Times New Roman"/>
        </w:rPr>
        <w:t>ts</w:t>
      </w:r>
      <w:r w:rsidR="001120A5" w:rsidRPr="004C75E0">
        <w:rPr>
          <w:rFonts w:ascii="Times New Roman" w:hAnsi="Times New Roman" w:cs="Times New Roman"/>
        </w:rPr>
        <w:t>.</w:t>
      </w:r>
    </w:p>
    <w:p w14:paraId="720613A7" w14:textId="09490B09" w:rsidR="00BA52E1" w:rsidRPr="00707FBA" w:rsidRDefault="001120A5" w:rsidP="00707FBA">
      <w:pPr>
        <w:spacing w:line="360" w:lineRule="auto"/>
        <w:jc w:val="both"/>
        <w:rPr>
          <w:rFonts w:ascii="Times New Roman" w:hAnsi="Times New Roman" w:cs="Times New Roman"/>
          <w:color w:val="000000"/>
        </w:rPr>
      </w:pPr>
      <w:r w:rsidRPr="004C75E0">
        <w:rPr>
          <w:rFonts w:ascii="Times New Roman" w:hAnsi="Times New Roman" w:cs="Times New Roman"/>
        </w:rPr>
        <w:t>As su</w:t>
      </w:r>
      <w:r w:rsidR="00FC51CA" w:rsidRPr="004C75E0">
        <w:rPr>
          <w:rFonts w:ascii="Times New Roman" w:hAnsi="Times New Roman" w:cs="Times New Roman"/>
        </w:rPr>
        <w:t>ch, the model of analysis used</w:t>
      </w:r>
      <w:r w:rsidRPr="004C75E0">
        <w:rPr>
          <w:rFonts w:ascii="Times New Roman" w:hAnsi="Times New Roman" w:cs="Times New Roman"/>
        </w:rPr>
        <w:t xml:space="preserve"> place</w:t>
      </w:r>
      <w:r w:rsidR="00FC51CA" w:rsidRPr="004C75E0">
        <w:rPr>
          <w:rFonts w:ascii="Times New Roman" w:hAnsi="Times New Roman" w:cs="Times New Roman"/>
        </w:rPr>
        <w:t>d</w:t>
      </w:r>
      <w:r w:rsidRPr="004C75E0">
        <w:rPr>
          <w:rFonts w:ascii="Times New Roman" w:hAnsi="Times New Roman" w:cs="Times New Roman"/>
        </w:rPr>
        <w:t xml:space="preserve"> the situation of marginalised children in a system that is influenced by (i) contextual fa</w:t>
      </w:r>
      <w:r w:rsidR="00BA1746">
        <w:rPr>
          <w:rFonts w:ascii="Times New Roman" w:hAnsi="Times New Roman" w:cs="Times New Roman"/>
        </w:rPr>
        <w:t xml:space="preserve">ctors, represented by  population, economic and </w:t>
      </w:r>
      <w:r w:rsidR="00FC51CA" w:rsidRPr="004C75E0">
        <w:rPr>
          <w:rFonts w:ascii="Times New Roman" w:hAnsi="Times New Roman" w:cs="Times New Roman"/>
        </w:rPr>
        <w:t>social</w:t>
      </w:r>
      <w:r w:rsidR="00BA1746">
        <w:rPr>
          <w:rFonts w:ascii="Times New Roman" w:hAnsi="Times New Roman" w:cs="Times New Roman"/>
        </w:rPr>
        <w:t xml:space="preserve"> factors</w:t>
      </w:r>
      <w:r w:rsidRPr="004C75E0">
        <w:rPr>
          <w:rFonts w:ascii="Times New Roman" w:hAnsi="Times New Roman" w:cs="Times New Roman"/>
        </w:rPr>
        <w:t xml:space="preserve"> that frame the situation; (ii) supply-side factors, represented by the availability of educational services, budgets and adequate means to realise full enrolment and retention; (iii) demand side factors, representing common knowledge, attitudes and practices at community level; and (iv) personal factors, representing individual wishes, aspirations, education status among other aspects</w:t>
      </w:r>
      <w:r w:rsidR="00FC51CA" w:rsidRPr="004C75E0">
        <w:rPr>
          <w:rFonts w:ascii="Times New Roman" w:hAnsi="Times New Roman" w:cs="Times New Roman"/>
        </w:rPr>
        <w:t xml:space="preserve"> (See Figure 1)</w:t>
      </w:r>
      <w:r w:rsidRPr="004C75E0">
        <w:rPr>
          <w:rFonts w:ascii="Times New Roman" w:hAnsi="Times New Roman" w:cs="Times New Roman"/>
        </w:rPr>
        <w:t>.</w:t>
      </w:r>
      <w:bookmarkStart w:id="13" w:name="_Toc434933514"/>
    </w:p>
    <w:p w14:paraId="6E2CDAFC" w14:textId="77777777" w:rsidR="00BA52E1" w:rsidRDefault="00BA52E1" w:rsidP="00BA1746">
      <w:pPr>
        <w:spacing w:line="360" w:lineRule="auto"/>
        <w:rPr>
          <w:rFonts w:ascii="Times New Roman" w:hAnsi="Times New Roman" w:cs="Times New Roman"/>
          <w:b/>
        </w:rPr>
      </w:pPr>
    </w:p>
    <w:p w14:paraId="605870DB" w14:textId="43C7C10E" w:rsidR="00FC51CA" w:rsidRPr="00B75F25" w:rsidRDefault="00BE36E3" w:rsidP="00BA1746">
      <w:pPr>
        <w:spacing w:line="360" w:lineRule="auto"/>
        <w:rPr>
          <w:rFonts w:ascii="Times New Roman" w:hAnsi="Times New Roman" w:cs="Times New Roman"/>
          <w:b/>
        </w:rPr>
      </w:pPr>
      <w:r w:rsidRPr="004C75E0">
        <w:rPr>
          <w:rFonts w:ascii="Times New Roman" w:hAnsi="Times New Roman" w:cs="Times New Roman"/>
          <w:b/>
        </w:rPr>
        <w:t>Figure 1</w:t>
      </w:r>
      <w:r w:rsidR="005C340E" w:rsidRPr="004C75E0">
        <w:rPr>
          <w:rFonts w:ascii="Times New Roman" w:hAnsi="Times New Roman" w:cs="Times New Roman"/>
          <w:b/>
        </w:rPr>
        <w:t>-1</w:t>
      </w:r>
      <w:r w:rsidRPr="004C75E0">
        <w:rPr>
          <w:rFonts w:ascii="Times New Roman" w:hAnsi="Times New Roman" w:cs="Times New Roman"/>
          <w:b/>
        </w:rPr>
        <w:t>: Zambia Updated SitAn M</w:t>
      </w:r>
      <w:r w:rsidR="00FC51CA" w:rsidRPr="004C75E0">
        <w:rPr>
          <w:rFonts w:ascii="Times New Roman" w:hAnsi="Times New Roman" w:cs="Times New Roman"/>
          <w:b/>
        </w:rPr>
        <w:t>odel</w:t>
      </w:r>
    </w:p>
    <w:p w14:paraId="44C327D3" w14:textId="5BA15979" w:rsidR="00BA52E1" w:rsidRPr="00B75F25" w:rsidRDefault="005D30C6" w:rsidP="00BA1746">
      <w:pPr>
        <w:spacing w:line="360" w:lineRule="auto"/>
        <w:rPr>
          <w:rFonts w:ascii="Times New Roman" w:hAnsi="Times New Roman" w:cs="Times New Roman"/>
          <w:b/>
        </w:rPr>
      </w:pPr>
      <w:r w:rsidRPr="00B75F25">
        <w:rPr>
          <w:rFonts w:ascii="Times New Roman" w:hAnsi="Times New Roman" w:cs="Times New Roman"/>
          <w:b/>
          <w:noProof/>
          <w:lang w:val="en-US"/>
        </w:rPr>
        <mc:AlternateContent>
          <mc:Choice Requires="wps">
            <w:drawing>
              <wp:anchor distT="0" distB="0" distL="114300" distR="114300" simplePos="0" relativeHeight="251642880" behindDoc="0" locked="0" layoutInCell="1" allowOverlap="1" wp14:anchorId="778A4A48" wp14:editId="3259782F">
                <wp:simplePos x="0" y="0"/>
                <wp:positionH relativeFrom="column">
                  <wp:posOffset>1769165</wp:posOffset>
                </wp:positionH>
                <wp:positionV relativeFrom="paragraph">
                  <wp:posOffset>234205</wp:posOffset>
                </wp:positionV>
                <wp:extent cx="1709420" cy="1182756"/>
                <wp:effectExtent l="0" t="0" r="24130" b="17780"/>
                <wp:wrapNone/>
                <wp:docPr id="139" name="Rectangle 139"/>
                <wp:cNvGraphicFramePr/>
                <a:graphic xmlns:a="http://schemas.openxmlformats.org/drawingml/2006/main">
                  <a:graphicData uri="http://schemas.microsoft.com/office/word/2010/wordprocessingShape">
                    <wps:wsp>
                      <wps:cNvSpPr/>
                      <wps:spPr>
                        <a:xfrm>
                          <a:off x="0" y="0"/>
                          <a:ext cx="1709420" cy="118275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48C692C" w14:textId="6EDED7FC" w:rsidR="009551B2" w:rsidRPr="00B75F25" w:rsidRDefault="009551B2" w:rsidP="005D30C6">
                            <w:pPr>
                              <w:pStyle w:val="NoSpacing"/>
                              <w:shd w:val="clear" w:color="auto" w:fill="70AD47" w:themeFill="accent6"/>
                              <w:rPr>
                                <w:rFonts w:ascii="Times New Roman" w:hAnsi="Times New Roman" w:cs="Times New Roman"/>
                                <w:b/>
                              </w:rPr>
                            </w:pPr>
                            <w:r w:rsidRPr="00B75F25">
                              <w:rPr>
                                <w:rFonts w:ascii="Times New Roman" w:hAnsi="Times New Roman" w:cs="Times New Roman"/>
                                <w:b/>
                              </w:rPr>
                              <w:t>Contextual factors</w:t>
                            </w:r>
                          </w:p>
                          <w:p w14:paraId="49D0EB47" w14:textId="495A5406"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-economic</w:t>
                            </w:r>
                          </w:p>
                          <w:p w14:paraId="7CB3BD8E" w14:textId="0EA1A308"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 Political</w:t>
                            </w:r>
                          </w:p>
                          <w:p w14:paraId="2956448B" w14:textId="5136B42E"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 xml:space="preserve">- Institutional </w:t>
                            </w:r>
                          </w:p>
                          <w:p w14:paraId="076B7CD7" w14:textId="55FF2F8B"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-legal and administrative</w:t>
                            </w:r>
                          </w:p>
                          <w:p w14:paraId="2D6473A0" w14:textId="01B47EB8"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 Environmental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78A4A48" id="Rectangle 139" o:spid="_x0000_s1026" style="position:absolute;margin-left:139.3pt;margin-top:18.45pt;width:134.6pt;height:93.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" fillcolor="#5b9bd5 [3204]" strokecolor="#1f4d78 [1604]" strokeweight="1pt">
                <v:textbox>
                  <w:txbxContent>
                    <w:p w14:paraId="648C692C" w14:textId="6EDED7FC" w:rsidR="009551B2" w:rsidRPr="00B75F25" w:rsidRDefault="009551B2" w:rsidP="005D30C6">
                      <w:pPr>
                        <w:pStyle w:val="NoSpacing"/>
                        <w:shd w:val="clear" w:color="auto" w:fill="70AD47" w:themeFill="accent6"/>
                        <w:rPr>
                          <w:rFonts w:ascii="Times New Roman" w:hAnsi="Times New Roman" w:cs="Times New Roman"/>
                          <w:b/>
                        </w:rPr>
                      </w:pPr>
                      <w:r w:rsidRPr="00B75F25">
                        <w:rPr>
                          <w:rFonts w:ascii="Times New Roman" w:hAnsi="Times New Roman" w:cs="Times New Roman"/>
                          <w:b/>
                        </w:rPr>
                        <w:t>Contextual factors</w:t>
                      </w:r>
                    </w:p>
                    <w:p w14:paraId="49D0EB47" w14:textId="495A5406"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-economic</w:t>
                      </w:r>
                    </w:p>
                    <w:p w14:paraId="7CB3BD8E" w14:textId="0EA1A308"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 Political</w:t>
                      </w:r>
                    </w:p>
                    <w:p w14:paraId="2956448B" w14:textId="5136B42E"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 xml:space="preserve">- Institutional </w:t>
                      </w:r>
                    </w:p>
                    <w:p w14:paraId="076B7CD7" w14:textId="55FF2F8B"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-legal and administrative</w:t>
                      </w:r>
                    </w:p>
                    <w:p w14:paraId="2D6473A0" w14:textId="01B47EB8"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 Environmental</w:t>
                      </w:r>
                    </w:p>
                  </w:txbxContent>
                </v:textbox>
              </v:rect>
            </w:pict>
          </mc:Fallback>
        </mc:AlternateContent>
      </w:r>
    </w:p>
    <w:p w14:paraId="21F54D72" w14:textId="4CE72C75" w:rsidR="00BA52E1" w:rsidRPr="00B75F25" w:rsidRDefault="00BA52E1" w:rsidP="00BA1746">
      <w:pPr>
        <w:spacing w:line="360" w:lineRule="auto"/>
        <w:rPr>
          <w:rFonts w:ascii="Times New Roman" w:hAnsi="Times New Roman" w:cs="Times New Roman"/>
          <w:b/>
        </w:rPr>
      </w:pPr>
    </w:p>
    <w:p w14:paraId="5AA8C722" w14:textId="71A4713C" w:rsidR="00BA52E1" w:rsidRPr="00B75F25" w:rsidRDefault="00BA52E1" w:rsidP="00BA1746">
      <w:pPr>
        <w:spacing w:line="360" w:lineRule="auto"/>
        <w:rPr>
          <w:rFonts w:ascii="Times New Roman" w:hAnsi="Times New Roman" w:cs="Times New Roman"/>
          <w:b/>
        </w:rPr>
      </w:pPr>
    </w:p>
    <w:p w14:paraId="17EC5073" w14:textId="5305FA86" w:rsidR="00BA52E1" w:rsidRPr="00B75F25" w:rsidRDefault="00BA52E1" w:rsidP="00BA1746">
      <w:pPr>
        <w:spacing w:line="360" w:lineRule="auto"/>
        <w:rPr>
          <w:rFonts w:ascii="Times New Roman" w:hAnsi="Times New Roman" w:cs="Times New Roman"/>
          <w:b/>
        </w:rPr>
      </w:pPr>
    </w:p>
    <w:p w14:paraId="5FD7113C" w14:textId="5831F5A2" w:rsidR="00BA52E1" w:rsidRPr="00B75F25" w:rsidRDefault="00B75F25" w:rsidP="00BA1746">
      <w:pPr>
        <w:spacing w:line="360" w:lineRule="auto"/>
        <w:rPr>
          <w:rFonts w:ascii="Times New Roman" w:hAnsi="Times New Roman" w:cs="Times New Roman"/>
          <w:b/>
        </w:rPr>
      </w:pPr>
      <w:r w:rsidRPr="00B75F25">
        <w:rPr>
          <w:rFonts w:ascii="Times New Roman" w:hAnsi="Times New Roman" w:cs="Times New Roman"/>
          <w:b/>
          <w:noProof/>
          <w:lang w:val="en-US"/>
        </w:rPr>
        <mc:AlternateContent>
          <mc:Choice Requires="wps">
            <w:drawing>
              <wp:anchor distT="0" distB="0" distL="114300" distR="114300" simplePos="0" relativeHeight="251646976" behindDoc="0" locked="0" layoutInCell="1" allowOverlap="1" wp14:anchorId="43A7EA67" wp14:editId="6FE334A7">
                <wp:simplePos x="0" y="0"/>
                <wp:positionH relativeFrom="column">
                  <wp:posOffset>0</wp:posOffset>
                </wp:positionH>
                <wp:positionV relativeFrom="paragraph">
                  <wp:posOffset>152107</wp:posOffset>
                </wp:positionV>
                <wp:extent cx="1500505" cy="1192696"/>
                <wp:effectExtent l="0" t="0" r="23495" b="26670"/>
                <wp:wrapNone/>
                <wp:docPr id="146" name="Rectangle 146"/>
                <wp:cNvGraphicFramePr/>
                <a:graphic xmlns:a="http://schemas.openxmlformats.org/drawingml/2006/main">
                  <a:graphicData uri="http://schemas.microsoft.com/office/word/2010/wordprocessingShape">
                    <wps:wsp>
                      <wps:cNvSpPr/>
                      <wps:spPr>
                        <a:xfrm>
                          <a:off x="0" y="0"/>
                          <a:ext cx="1500505" cy="1192696"/>
                        </a:xfrm>
                        <a:prstGeom prst="rect">
                          <a:avLst/>
                        </a:prstGeom>
                        <a:solidFill>
                          <a:srgbClr val="5B9BD5"/>
                        </a:solidFill>
                        <a:ln w="12700" cap="flat" cmpd="sng" algn="ctr">
                          <a:solidFill>
                            <a:srgbClr val="5B9BD5">
                              <a:shade val="50000"/>
                            </a:srgbClr>
                          </a:solidFill>
                          <a:prstDash val="solid"/>
                          <a:miter lim="800000"/>
                        </a:ln>
                        <a:effectLst/>
                      </wps:spPr>
                      <wps:txbx>
                        <w:txbxContent>
                          <w:p w14:paraId="19E6658C" w14:textId="3B10A53C" w:rsidR="009551B2" w:rsidRPr="00B75F25" w:rsidRDefault="009551B2" w:rsidP="005D30C6">
                            <w:pPr>
                              <w:pStyle w:val="NoSpacing"/>
                              <w:shd w:val="clear" w:color="auto" w:fill="70AD47" w:themeFill="accent6"/>
                              <w:rPr>
                                <w:rFonts w:ascii="Times New Roman" w:hAnsi="Times New Roman" w:cs="Times New Roman"/>
                                <w:b/>
                              </w:rPr>
                            </w:pPr>
                            <w:r w:rsidRPr="00B75F25">
                              <w:rPr>
                                <w:rFonts w:ascii="Times New Roman" w:hAnsi="Times New Roman" w:cs="Times New Roman"/>
                                <w:b/>
                              </w:rPr>
                              <w:t>Supply-side factors</w:t>
                            </w:r>
                          </w:p>
                          <w:p w14:paraId="16A3C23A" w14:textId="13C69CCC" w:rsidR="009551B2" w:rsidRPr="00B75F25" w:rsidRDefault="009551B2" w:rsidP="005D30C6">
                            <w:pPr>
                              <w:pStyle w:val="NoSpacing"/>
                              <w:numPr>
                                <w:ilvl w:val="0"/>
                                <w:numId w:val="27"/>
                              </w:numPr>
                              <w:shd w:val="clear" w:color="auto" w:fill="70AD47" w:themeFill="accent6"/>
                              <w:rPr>
                                <w:rFonts w:ascii="Times New Roman" w:hAnsi="Times New Roman" w:cs="Times New Roman"/>
                              </w:rPr>
                            </w:pPr>
                            <w:r w:rsidRPr="00B75F25">
                              <w:rPr>
                                <w:rFonts w:ascii="Times New Roman" w:hAnsi="Times New Roman" w:cs="Times New Roman"/>
                              </w:rPr>
                              <w:t>Budgets</w:t>
                            </w:r>
                          </w:p>
                          <w:p w14:paraId="315CB998" w14:textId="17ADE02A" w:rsidR="009551B2" w:rsidRPr="00B75F25" w:rsidRDefault="009551B2" w:rsidP="005D30C6">
                            <w:pPr>
                              <w:pStyle w:val="NoSpacing"/>
                              <w:numPr>
                                <w:ilvl w:val="0"/>
                                <w:numId w:val="27"/>
                              </w:numPr>
                              <w:shd w:val="clear" w:color="auto" w:fill="70AD47" w:themeFill="accent6"/>
                              <w:rPr>
                                <w:rFonts w:ascii="Times New Roman" w:hAnsi="Times New Roman" w:cs="Times New Roman"/>
                              </w:rPr>
                            </w:pPr>
                            <w:r w:rsidRPr="00B75F25">
                              <w:rPr>
                                <w:rFonts w:ascii="Times New Roman" w:hAnsi="Times New Roman" w:cs="Times New Roman"/>
                              </w:rPr>
                              <w:t>Efficiency of services</w:t>
                            </w:r>
                          </w:p>
                          <w:p w14:paraId="73EEB8B1" w14:textId="1C09C918" w:rsidR="009551B2" w:rsidRPr="00B75F25" w:rsidRDefault="009551B2" w:rsidP="005D30C6">
                            <w:pPr>
                              <w:pStyle w:val="NoSpacing"/>
                              <w:numPr>
                                <w:ilvl w:val="0"/>
                                <w:numId w:val="27"/>
                              </w:numPr>
                              <w:shd w:val="clear" w:color="auto" w:fill="70AD47" w:themeFill="accent6"/>
                              <w:rPr>
                                <w:rFonts w:ascii="Times New Roman" w:hAnsi="Times New Roman" w:cs="Times New Roman"/>
                              </w:rPr>
                            </w:pPr>
                            <w:r w:rsidRPr="00B75F25">
                              <w:rPr>
                                <w:rFonts w:ascii="Times New Roman" w:hAnsi="Times New Roman" w:cs="Times New Roman"/>
                              </w:rPr>
                              <w:t>Adequacy of targeting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3A7EA67" id="Rectangle 146" o:spid="_x0000_s1027" style="position:absolute;margin-left:0;margin-top:12pt;width:118.15pt;height:93.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" fillcolor="#5b9bd5" strokecolor="#41719c" strokeweight="1pt">
                <v:textbox>
                  <w:txbxContent>
                    <w:p w14:paraId="19E6658C" w14:textId="3B10A53C" w:rsidR="009551B2" w:rsidRPr="00B75F25" w:rsidRDefault="009551B2" w:rsidP="005D30C6">
                      <w:pPr>
                        <w:pStyle w:val="NoSpacing"/>
                        <w:shd w:val="clear" w:color="auto" w:fill="70AD47" w:themeFill="accent6"/>
                        <w:rPr>
                          <w:rFonts w:ascii="Times New Roman" w:hAnsi="Times New Roman" w:cs="Times New Roman"/>
                          <w:b/>
                        </w:rPr>
                      </w:pPr>
                      <w:r w:rsidRPr="00B75F25">
                        <w:rPr>
                          <w:rFonts w:ascii="Times New Roman" w:hAnsi="Times New Roman" w:cs="Times New Roman"/>
                          <w:b/>
                        </w:rPr>
                        <w:t>Supply-side factors</w:t>
                      </w:r>
                    </w:p>
                    <w:p w14:paraId="16A3C23A" w14:textId="13C69CCC" w:rsidR="009551B2" w:rsidRPr="00B75F25" w:rsidRDefault="009551B2" w:rsidP="005D30C6">
                      <w:pPr>
                        <w:pStyle w:val="NoSpacing"/>
                        <w:numPr>
                          <w:ilvl w:val="0"/>
                          <w:numId w:val="27"/>
                        </w:numPr>
                        <w:shd w:val="clear" w:color="auto" w:fill="70AD47" w:themeFill="accent6"/>
                        <w:rPr>
                          <w:rFonts w:ascii="Times New Roman" w:hAnsi="Times New Roman" w:cs="Times New Roman"/>
                        </w:rPr>
                      </w:pPr>
                      <w:r w:rsidRPr="00B75F25">
                        <w:rPr>
                          <w:rFonts w:ascii="Times New Roman" w:hAnsi="Times New Roman" w:cs="Times New Roman"/>
                        </w:rPr>
                        <w:t>Budgets</w:t>
                      </w:r>
                    </w:p>
                    <w:p w14:paraId="315CB998" w14:textId="17ADE02A" w:rsidR="009551B2" w:rsidRPr="00B75F25" w:rsidRDefault="009551B2" w:rsidP="005D30C6">
                      <w:pPr>
                        <w:pStyle w:val="NoSpacing"/>
                        <w:numPr>
                          <w:ilvl w:val="0"/>
                          <w:numId w:val="27"/>
                        </w:numPr>
                        <w:shd w:val="clear" w:color="auto" w:fill="70AD47" w:themeFill="accent6"/>
                        <w:rPr>
                          <w:rFonts w:ascii="Times New Roman" w:hAnsi="Times New Roman" w:cs="Times New Roman"/>
                        </w:rPr>
                      </w:pPr>
                      <w:r w:rsidRPr="00B75F25">
                        <w:rPr>
                          <w:rFonts w:ascii="Times New Roman" w:hAnsi="Times New Roman" w:cs="Times New Roman"/>
                        </w:rPr>
                        <w:t>Efficiency of services</w:t>
                      </w:r>
                    </w:p>
                    <w:p w14:paraId="73EEB8B1" w14:textId="1C09C918" w:rsidR="009551B2" w:rsidRPr="00B75F25" w:rsidRDefault="009551B2" w:rsidP="005D30C6">
                      <w:pPr>
                        <w:pStyle w:val="NoSpacing"/>
                        <w:numPr>
                          <w:ilvl w:val="0"/>
                          <w:numId w:val="27"/>
                        </w:numPr>
                        <w:shd w:val="clear" w:color="auto" w:fill="70AD47" w:themeFill="accent6"/>
                        <w:rPr>
                          <w:rFonts w:ascii="Times New Roman" w:hAnsi="Times New Roman" w:cs="Times New Roman"/>
                        </w:rPr>
                      </w:pPr>
                      <w:r w:rsidRPr="00B75F25">
                        <w:rPr>
                          <w:rFonts w:ascii="Times New Roman" w:hAnsi="Times New Roman" w:cs="Times New Roman"/>
                        </w:rPr>
                        <w:t>Adequacy of targeting</w:t>
                      </w:r>
                    </w:p>
                  </w:txbxContent>
                </v:textbox>
              </v:rect>
            </w:pict>
          </mc:Fallback>
        </mc:AlternateContent>
      </w:r>
      <w:r w:rsidRPr="00B75F25">
        <w:rPr>
          <w:rFonts w:ascii="Times New Roman" w:hAnsi="Times New Roman" w:cs="Times New Roman"/>
          <w:b/>
          <w:noProof/>
          <w:lang w:val="en-US"/>
        </w:rPr>
        <mc:AlternateContent>
          <mc:Choice Requires="wps">
            <w:drawing>
              <wp:anchor distT="0" distB="0" distL="114300" distR="114300" simplePos="0" relativeHeight="251655168" behindDoc="0" locked="0" layoutInCell="1" allowOverlap="1" wp14:anchorId="58A2018B" wp14:editId="2E8D7400">
                <wp:simplePos x="0" y="0"/>
                <wp:positionH relativeFrom="column">
                  <wp:posOffset>3935730</wp:posOffset>
                </wp:positionH>
                <wp:positionV relativeFrom="paragraph">
                  <wp:posOffset>133789</wp:posOffset>
                </wp:positionV>
                <wp:extent cx="1769166" cy="1252330"/>
                <wp:effectExtent l="0" t="0" r="21590" b="24130"/>
                <wp:wrapNone/>
                <wp:docPr id="148" name="Rectangle 148"/>
                <wp:cNvGraphicFramePr/>
                <a:graphic xmlns:a="http://schemas.openxmlformats.org/drawingml/2006/main">
                  <a:graphicData uri="http://schemas.microsoft.com/office/word/2010/wordprocessingShape">
                    <wps:wsp>
                      <wps:cNvSpPr/>
                      <wps:spPr>
                        <a:xfrm>
                          <a:off x="0" y="0"/>
                          <a:ext cx="1769166" cy="1252330"/>
                        </a:xfrm>
                        <a:prstGeom prst="rect">
                          <a:avLst/>
                        </a:prstGeom>
                        <a:solidFill>
                          <a:srgbClr val="5B9BD5"/>
                        </a:solidFill>
                        <a:ln w="12700" cap="flat" cmpd="sng" algn="ctr">
                          <a:solidFill>
                            <a:srgbClr val="5B9BD5">
                              <a:shade val="50000"/>
                            </a:srgbClr>
                          </a:solidFill>
                          <a:prstDash val="solid"/>
                          <a:miter lim="800000"/>
                        </a:ln>
                        <a:effectLst/>
                      </wps:spPr>
                      <wps:txbx>
                        <w:txbxContent>
                          <w:p w14:paraId="4C4BFCF7" w14:textId="2DA741C6" w:rsidR="009551B2" w:rsidRPr="00B75F25" w:rsidRDefault="009551B2" w:rsidP="005D30C6">
                            <w:pPr>
                              <w:pStyle w:val="NoSpacing"/>
                              <w:shd w:val="clear" w:color="auto" w:fill="70AD47" w:themeFill="accent6"/>
                              <w:rPr>
                                <w:rFonts w:ascii="Times New Roman" w:hAnsi="Times New Roman" w:cs="Times New Roman"/>
                                <w:b/>
                              </w:rPr>
                            </w:pPr>
                            <w:r w:rsidRPr="00B75F25">
                              <w:rPr>
                                <w:rFonts w:ascii="Times New Roman" w:hAnsi="Times New Roman" w:cs="Times New Roman"/>
                                <w:b/>
                              </w:rPr>
                              <w:t>Demand side factors</w:t>
                            </w:r>
                          </w:p>
                          <w:p w14:paraId="3E744D86" w14:textId="23516E94"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-Knowledge, attitudes and practice</w:t>
                            </w:r>
                          </w:p>
                          <w:p w14:paraId="060BE1CF" w14:textId="50EF9958"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-cultural constraints, cots, time, availability etc</w:t>
                            </w:r>
                          </w:p>
                          <w:p w14:paraId="146C7D71" w14:textId="4A346A08" w:rsidR="009551B2" w:rsidRPr="00B75F25" w:rsidRDefault="009551B2" w:rsidP="005D30C6">
                            <w:pPr>
                              <w:pStyle w:val="NoSpacing"/>
                              <w:shd w:val="clear" w:color="auto" w:fill="70AD47" w:themeFill="accent6"/>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8A2018B" id="Rectangle 148" o:spid="_x0000_s1028" style="position:absolute;margin-left:309.9pt;margin-top:10.55pt;width:139.3pt;height:98.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" fillcolor="#5b9bd5" strokecolor="#41719c" strokeweight="1pt">
                <v:textbox>
                  <w:txbxContent>
                    <w:p w14:paraId="4C4BFCF7" w14:textId="2DA741C6" w:rsidR="009551B2" w:rsidRPr="00B75F25" w:rsidRDefault="009551B2" w:rsidP="005D30C6">
                      <w:pPr>
                        <w:pStyle w:val="NoSpacing"/>
                        <w:shd w:val="clear" w:color="auto" w:fill="70AD47" w:themeFill="accent6"/>
                        <w:rPr>
                          <w:rFonts w:ascii="Times New Roman" w:hAnsi="Times New Roman" w:cs="Times New Roman"/>
                          <w:b/>
                        </w:rPr>
                      </w:pPr>
                      <w:r w:rsidRPr="00B75F25">
                        <w:rPr>
                          <w:rFonts w:ascii="Times New Roman" w:hAnsi="Times New Roman" w:cs="Times New Roman"/>
                          <w:b/>
                        </w:rPr>
                        <w:t>Demand side factors</w:t>
                      </w:r>
                    </w:p>
                    <w:p w14:paraId="3E744D86" w14:textId="23516E94"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-Knowledge, attitudes and practice</w:t>
                      </w:r>
                    </w:p>
                    <w:p w14:paraId="060BE1CF" w14:textId="50EF9958"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-cultural constraints, cots, time, availability etc</w:t>
                      </w:r>
                    </w:p>
                    <w:p w14:paraId="146C7D71" w14:textId="4A346A08" w:rsidR="009551B2" w:rsidRPr="00B75F25" w:rsidRDefault="009551B2" w:rsidP="005D30C6">
                      <w:pPr>
                        <w:pStyle w:val="NoSpacing"/>
                        <w:shd w:val="clear" w:color="auto" w:fill="70AD47" w:themeFill="accent6"/>
                        <w:rPr>
                          <w:rFonts w:ascii="Times New Roman" w:hAnsi="Times New Roman" w:cs="Times New Roman"/>
                        </w:rPr>
                      </w:pPr>
                    </w:p>
                  </w:txbxContent>
                </v:textbox>
              </v:rect>
            </w:pict>
          </mc:Fallback>
        </mc:AlternateContent>
      </w:r>
      <w:r w:rsidR="005D30C6" w:rsidRPr="00B75F25">
        <w:rPr>
          <w:rFonts w:ascii="Times New Roman" w:hAnsi="Times New Roman" w:cs="Times New Roman"/>
          <w:b/>
          <w:noProof/>
          <w:lang w:val="en-US"/>
        </w:rPr>
        <mc:AlternateContent>
          <mc:Choice Requires="wps">
            <w:drawing>
              <wp:anchor distT="0" distB="0" distL="114300" distR="114300" simplePos="0" relativeHeight="251667456" behindDoc="0" locked="0" layoutInCell="1" allowOverlap="1" wp14:anchorId="601B9EC5" wp14:editId="4D877C4F">
                <wp:simplePos x="0" y="0"/>
                <wp:positionH relativeFrom="column">
                  <wp:posOffset>2382715</wp:posOffset>
                </wp:positionH>
                <wp:positionV relativeFrom="paragraph">
                  <wp:posOffset>28282</wp:posOffset>
                </wp:positionV>
                <wp:extent cx="484632" cy="351692"/>
                <wp:effectExtent l="38100" t="0" r="0" b="29845"/>
                <wp:wrapNone/>
                <wp:docPr id="151" name="Down Arrow 151"/>
                <wp:cNvGraphicFramePr/>
                <a:graphic xmlns:a="http://schemas.openxmlformats.org/drawingml/2006/main">
                  <a:graphicData uri="http://schemas.microsoft.com/office/word/2010/wordprocessingShape">
                    <wps:wsp>
                      <wps:cNvSpPr/>
                      <wps:spPr>
                        <a:xfrm>
                          <a:off x="0" y="0"/>
                          <a:ext cx="484632" cy="351692"/>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type w14:anchorId="2F40B15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1" o:spid="_x0000_s1026" type="#_x0000_t67" style="position:absolute;margin-left:187.6pt;margin-top:2.25pt;width:38.15pt;height:27.7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" adj="10800" fillcolor="#5b9bd5 [3204]" strokecolor="#1f4d78 [1604]" strokeweight="1pt"/>
            </w:pict>
          </mc:Fallback>
        </mc:AlternateContent>
      </w:r>
    </w:p>
    <w:p w14:paraId="58BD133F" w14:textId="7D023180" w:rsidR="00BA52E1" w:rsidRPr="00B75F25" w:rsidRDefault="00B75F25" w:rsidP="00BA1746">
      <w:pPr>
        <w:spacing w:line="360" w:lineRule="auto"/>
        <w:rPr>
          <w:rFonts w:ascii="Times New Roman" w:hAnsi="Times New Roman" w:cs="Times New Roman"/>
          <w:b/>
        </w:rPr>
      </w:pPr>
      <w:r w:rsidRPr="00B75F25">
        <w:rPr>
          <w:rFonts w:ascii="Times New Roman" w:hAnsi="Times New Roman" w:cs="Times New Roman"/>
          <w:b/>
          <w:noProof/>
          <w:lang w:val="en-US"/>
        </w:rPr>
        <mc:AlternateContent>
          <mc:Choice Requires="wps">
            <w:drawing>
              <wp:anchor distT="0" distB="0" distL="114300" distR="114300" simplePos="0" relativeHeight="251671552" behindDoc="0" locked="0" layoutInCell="1" allowOverlap="1" wp14:anchorId="68843267" wp14:editId="0FA924B1">
                <wp:simplePos x="0" y="0"/>
                <wp:positionH relativeFrom="column">
                  <wp:posOffset>3534508</wp:posOffset>
                </wp:positionH>
                <wp:positionV relativeFrom="paragraph">
                  <wp:posOffset>274467</wp:posOffset>
                </wp:positionV>
                <wp:extent cx="404446" cy="484632"/>
                <wp:effectExtent l="19050" t="19050" r="15240" b="29845"/>
                <wp:wrapNone/>
                <wp:docPr id="152" name="Left Arrow 152"/>
                <wp:cNvGraphicFramePr/>
                <a:graphic xmlns:a="http://schemas.openxmlformats.org/drawingml/2006/main">
                  <a:graphicData uri="http://schemas.microsoft.com/office/word/2010/wordprocessingShape">
                    <wps:wsp>
                      <wps:cNvSpPr/>
                      <wps:spPr>
                        <a:xfrm>
                          <a:off x="0" y="0"/>
                          <a:ext cx="404446" cy="484632"/>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type w14:anchorId="64826A6F"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52" o:spid="_x0000_s1026" type="#_x0000_t66" style="position:absolute;margin-left:278.3pt;margin-top:21.6pt;width:31.85pt;height:38.1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" adj="10800" fillcolor="#5b9bd5 [3204]" strokecolor="#1f4d78 [1604]" strokeweight="1pt"/>
            </w:pict>
          </mc:Fallback>
        </mc:AlternateContent>
      </w:r>
      <w:r w:rsidR="00BA52E1" w:rsidRPr="00B75F25">
        <w:rPr>
          <w:rFonts w:ascii="Times New Roman" w:hAnsi="Times New Roman" w:cs="Times New Roman"/>
          <w:b/>
          <w:noProof/>
          <w:lang w:val="en-US"/>
        </w:rPr>
        <mc:AlternateContent>
          <mc:Choice Requires="wps">
            <w:drawing>
              <wp:anchor distT="0" distB="0" distL="114300" distR="114300" simplePos="0" relativeHeight="251659264" behindDoc="0" locked="0" layoutInCell="1" allowOverlap="1" wp14:anchorId="57479600" wp14:editId="5AC014B5">
                <wp:simplePos x="0" y="0"/>
                <wp:positionH relativeFrom="column">
                  <wp:posOffset>1759226</wp:posOffset>
                </wp:positionH>
                <wp:positionV relativeFrom="paragraph">
                  <wp:posOffset>41662</wp:posOffset>
                </wp:positionV>
                <wp:extent cx="1758950" cy="854765"/>
                <wp:effectExtent l="0" t="0" r="12700" b="21590"/>
                <wp:wrapNone/>
                <wp:docPr id="149" name="Rectangle 149"/>
                <wp:cNvGraphicFramePr/>
                <a:graphic xmlns:a="http://schemas.openxmlformats.org/drawingml/2006/main">
                  <a:graphicData uri="http://schemas.microsoft.com/office/word/2010/wordprocessingShape">
                    <wps:wsp>
                      <wps:cNvSpPr/>
                      <wps:spPr>
                        <a:xfrm>
                          <a:off x="0" y="0"/>
                          <a:ext cx="1758950" cy="854765"/>
                        </a:xfrm>
                        <a:prstGeom prst="rect">
                          <a:avLst/>
                        </a:prstGeom>
                        <a:solidFill>
                          <a:srgbClr val="5B9BD5"/>
                        </a:solidFill>
                        <a:ln w="12700" cap="flat" cmpd="sng" algn="ctr">
                          <a:solidFill>
                            <a:srgbClr val="5B9BD5">
                              <a:shade val="50000"/>
                            </a:srgbClr>
                          </a:solidFill>
                          <a:prstDash val="solid"/>
                          <a:miter lim="800000"/>
                        </a:ln>
                        <a:effectLst/>
                      </wps:spPr>
                      <wps:txbx>
                        <w:txbxContent>
                          <w:p w14:paraId="1382CB36" w14:textId="5381C5F9" w:rsidR="009551B2" w:rsidRPr="00B75F25" w:rsidRDefault="009551B2" w:rsidP="005D30C6">
                            <w:pPr>
                              <w:shd w:val="clear" w:color="auto" w:fill="70AD47" w:themeFill="accent6"/>
                              <w:jc w:val="center"/>
                              <w:rPr>
                                <w:rFonts w:ascii="Times New Roman" w:hAnsi="Times New Roman" w:cs="Times New Roman"/>
                                <w:b/>
                              </w:rPr>
                            </w:pPr>
                            <w:r w:rsidRPr="00B75F25">
                              <w:rPr>
                                <w:rFonts w:ascii="Times New Roman" w:hAnsi="Times New Roman" w:cs="Times New Roman"/>
                                <w:b/>
                              </w:rPr>
                              <w:t>Situational of women and children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7479600" id="Rectangle 149" o:spid="_x0000_s1029" style="position:absolute;margin-left:138.5pt;margin-top:3.3pt;width:138.5pt;height:6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" fillcolor="#5b9bd5" strokecolor="#41719c" strokeweight="1pt">
                <v:textbox>
                  <w:txbxContent>
                    <w:p w14:paraId="1382CB36" w14:textId="5381C5F9" w:rsidR="009551B2" w:rsidRPr="00B75F25" w:rsidRDefault="009551B2" w:rsidP="005D30C6">
                      <w:pPr>
                        <w:shd w:val="clear" w:color="auto" w:fill="70AD47" w:themeFill="accent6"/>
                        <w:jc w:val="center"/>
                        <w:rPr>
                          <w:rFonts w:ascii="Times New Roman" w:hAnsi="Times New Roman" w:cs="Times New Roman"/>
                          <w:b/>
                        </w:rPr>
                      </w:pPr>
                      <w:r w:rsidRPr="00B75F25">
                        <w:rPr>
                          <w:rFonts w:ascii="Times New Roman" w:hAnsi="Times New Roman" w:cs="Times New Roman"/>
                          <w:b/>
                        </w:rPr>
                        <w:t>Situational of women and children</w:t>
                      </w:r>
                    </w:p>
                  </w:txbxContent>
                </v:textbox>
              </v:rect>
            </w:pict>
          </mc:Fallback>
        </mc:AlternateContent>
      </w:r>
    </w:p>
    <w:p w14:paraId="689839AA" w14:textId="745E417F" w:rsidR="00BA52E1" w:rsidRPr="00B75F25" w:rsidRDefault="005D30C6" w:rsidP="00BA1746">
      <w:pPr>
        <w:spacing w:line="360" w:lineRule="auto"/>
        <w:rPr>
          <w:rFonts w:ascii="Times New Roman" w:hAnsi="Times New Roman" w:cs="Times New Roman"/>
          <w:b/>
        </w:rPr>
      </w:pPr>
      <w:r w:rsidRPr="00B75F25">
        <w:rPr>
          <w:rFonts w:ascii="Times New Roman" w:hAnsi="Times New Roman" w:cs="Times New Roman"/>
          <w:b/>
          <w:noProof/>
          <w:lang w:val="en-US"/>
        </w:rPr>
        <mc:AlternateContent>
          <mc:Choice Requires="wps">
            <w:drawing>
              <wp:anchor distT="0" distB="0" distL="114300" distR="114300" simplePos="0" relativeHeight="251663360" behindDoc="0" locked="0" layoutInCell="1" allowOverlap="1" wp14:anchorId="1F18AF97" wp14:editId="63B24B5C">
                <wp:simplePos x="0" y="0"/>
                <wp:positionH relativeFrom="column">
                  <wp:posOffset>1468315</wp:posOffset>
                </wp:positionH>
                <wp:positionV relativeFrom="paragraph">
                  <wp:posOffset>28917</wp:posOffset>
                </wp:positionV>
                <wp:extent cx="290147" cy="484632"/>
                <wp:effectExtent l="0" t="38100" r="34290" b="48895"/>
                <wp:wrapNone/>
                <wp:docPr id="150" name="Right Arrow 150"/>
                <wp:cNvGraphicFramePr/>
                <a:graphic xmlns:a="http://schemas.openxmlformats.org/drawingml/2006/main">
                  <a:graphicData uri="http://schemas.microsoft.com/office/word/2010/wordprocessingShape">
                    <wps:wsp>
                      <wps:cNvSpPr/>
                      <wps:spPr>
                        <a:xfrm>
                          <a:off x="0" y="0"/>
                          <a:ext cx="290147" cy="484632"/>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type w14:anchorId="4AC7108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0" o:spid="_x0000_s1026" type="#_x0000_t13" style="position:absolute;margin-left:115.6pt;margin-top:2.3pt;width:22.85pt;height:38.1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" adj="10800" fillcolor="#5b9bd5 [3204]" strokecolor="#1f4d78 [1604]" strokeweight="1pt"/>
            </w:pict>
          </mc:Fallback>
        </mc:AlternateContent>
      </w:r>
    </w:p>
    <w:p w14:paraId="32E93089" w14:textId="04C63F3F" w:rsidR="00BA52E1" w:rsidRPr="00B75F25" w:rsidRDefault="00B75F25" w:rsidP="00BA1746">
      <w:pPr>
        <w:spacing w:line="360" w:lineRule="auto"/>
        <w:rPr>
          <w:rFonts w:ascii="Times New Roman" w:hAnsi="Times New Roman" w:cs="Times New Roman"/>
          <w:b/>
        </w:rPr>
      </w:pPr>
      <w:r w:rsidRPr="00B75F25">
        <w:rPr>
          <w:rFonts w:ascii="Times New Roman" w:hAnsi="Times New Roman" w:cs="Times New Roman"/>
          <w:b/>
          <w:noProof/>
          <w:lang w:val="en-US"/>
        </w:rPr>
        <mc:AlternateContent>
          <mc:Choice Requires="wps">
            <w:drawing>
              <wp:anchor distT="0" distB="0" distL="114300" distR="114300" simplePos="0" relativeHeight="251675648" behindDoc="0" locked="0" layoutInCell="1" allowOverlap="1" wp14:anchorId="34350728" wp14:editId="51D04F28">
                <wp:simplePos x="0" y="0"/>
                <wp:positionH relativeFrom="column">
                  <wp:posOffset>2373923</wp:posOffset>
                </wp:positionH>
                <wp:positionV relativeFrom="paragraph">
                  <wp:posOffset>206619</wp:posOffset>
                </wp:positionV>
                <wp:extent cx="484632" cy="490171"/>
                <wp:effectExtent l="19050" t="19050" r="29845" b="24765"/>
                <wp:wrapNone/>
                <wp:docPr id="153" name="Up Arrow 153"/>
                <wp:cNvGraphicFramePr/>
                <a:graphic xmlns:a="http://schemas.openxmlformats.org/drawingml/2006/main">
                  <a:graphicData uri="http://schemas.microsoft.com/office/word/2010/wordprocessingShape">
                    <wps:wsp>
                      <wps:cNvSpPr/>
                      <wps:spPr>
                        <a:xfrm>
                          <a:off x="0" y="0"/>
                          <a:ext cx="484632" cy="490171"/>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type w14:anchorId="55EAA317"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53" o:spid="_x0000_s1026" type="#_x0000_t68" style="position:absolute;margin-left:186.9pt;margin-top:16.25pt;width:38.15pt;height:38.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" adj="10678" fillcolor="#5b9bd5 [3204]" strokecolor="#1f4d78 [1604]" strokeweight="1pt"/>
            </w:pict>
          </mc:Fallback>
        </mc:AlternateContent>
      </w:r>
    </w:p>
    <w:p w14:paraId="36F7C253" w14:textId="65478BAC" w:rsidR="00BA52E1" w:rsidRPr="00B75F25" w:rsidRDefault="00BA52E1" w:rsidP="00BA1746">
      <w:pPr>
        <w:spacing w:line="360" w:lineRule="auto"/>
        <w:rPr>
          <w:rFonts w:ascii="Times New Roman" w:hAnsi="Times New Roman" w:cs="Times New Roman"/>
          <w:b/>
        </w:rPr>
      </w:pPr>
    </w:p>
    <w:p w14:paraId="56861B6E" w14:textId="4F41F410" w:rsidR="00BA52E1" w:rsidRPr="00B75F25" w:rsidRDefault="00BA52E1" w:rsidP="00291B12">
      <w:r w:rsidRPr="00B75F25">
        <w:rPr>
          <w:b/>
          <w:noProof/>
          <w:lang w:val="en-US"/>
        </w:rPr>
        <mc:AlternateContent>
          <mc:Choice Requires="wps">
            <w:drawing>
              <wp:anchor distT="0" distB="0" distL="114300" distR="114300" simplePos="0" relativeHeight="251651072" behindDoc="0" locked="0" layoutInCell="1" allowOverlap="1" wp14:anchorId="7375975E" wp14:editId="619A5EE9">
                <wp:simplePos x="0" y="0"/>
                <wp:positionH relativeFrom="column">
                  <wp:posOffset>1828800</wp:posOffset>
                </wp:positionH>
                <wp:positionV relativeFrom="paragraph">
                  <wp:posOffset>13114</wp:posOffset>
                </wp:positionV>
                <wp:extent cx="1689376" cy="914400"/>
                <wp:effectExtent l="0" t="0" r="25400" b="19050"/>
                <wp:wrapNone/>
                <wp:docPr id="147" name="Rectangle 147"/>
                <wp:cNvGraphicFramePr/>
                <a:graphic xmlns:a="http://schemas.openxmlformats.org/drawingml/2006/main">
                  <a:graphicData uri="http://schemas.microsoft.com/office/word/2010/wordprocessingShape">
                    <wps:wsp>
                      <wps:cNvSpPr/>
                      <wps:spPr>
                        <a:xfrm>
                          <a:off x="0" y="0"/>
                          <a:ext cx="1689376" cy="914400"/>
                        </a:xfrm>
                        <a:prstGeom prst="rect">
                          <a:avLst/>
                        </a:prstGeom>
                        <a:solidFill>
                          <a:srgbClr val="5B9BD5"/>
                        </a:solidFill>
                        <a:ln w="12700" cap="flat" cmpd="sng" algn="ctr">
                          <a:solidFill>
                            <a:srgbClr val="5B9BD5">
                              <a:shade val="50000"/>
                            </a:srgbClr>
                          </a:solidFill>
                          <a:prstDash val="solid"/>
                          <a:miter lim="800000"/>
                        </a:ln>
                        <a:effectLst/>
                      </wps:spPr>
                      <wps:txbx>
                        <w:txbxContent>
                          <w:p w14:paraId="746DEC0F" w14:textId="3F2F5A30" w:rsidR="009551B2" w:rsidRPr="00B75F25" w:rsidRDefault="009551B2" w:rsidP="005D30C6">
                            <w:pPr>
                              <w:pStyle w:val="NoSpacing"/>
                              <w:shd w:val="clear" w:color="auto" w:fill="70AD47" w:themeFill="accent6"/>
                              <w:rPr>
                                <w:rFonts w:ascii="Times New Roman" w:hAnsi="Times New Roman" w:cs="Times New Roman"/>
                                <w:b/>
                              </w:rPr>
                            </w:pPr>
                            <w:r w:rsidRPr="00B75F25">
                              <w:rPr>
                                <w:rFonts w:ascii="Times New Roman" w:hAnsi="Times New Roman" w:cs="Times New Roman"/>
                                <w:b/>
                              </w:rPr>
                              <w:t>Personal factors</w:t>
                            </w:r>
                          </w:p>
                          <w:p w14:paraId="12DA9B37" w14:textId="3869C0FF"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-Social economic status</w:t>
                            </w:r>
                          </w:p>
                          <w:p w14:paraId="3074773E" w14:textId="40E694E1"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 Health &amp; education</w:t>
                            </w:r>
                          </w:p>
                          <w:p w14:paraId="284EBDF6" w14:textId="4C1DDB57" w:rsidR="009551B2" w:rsidRDefault="009551B2" w:rsidP="005D30C6">
                            <w:pPr>
                              <w:pStyle w:val="NoSpacing"/>
                              <w:shd w:val="clear" w:color="auto" w:fill="70AD47" w:themeFill="accent6"/>
                            </w:pPr>
                            <w:r w:rsidRPr="00B75F25">
                              <w:rPr>
                                <w:rFonts w:ascii="Times New Roman" w:hAnsi="Times New Roman" w:cs="Times New Roman"/>
                              </w:rPr>
                              <w:t>- Place of living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7375975E" id="Rectangle 147" o:spid="_x0000_s1030" style="position:absolute;margin-left:2in;margin-top:1.05pt;width:133pt;height:1in;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" fillcolor="#5b9bd5" strokecolor="#41719c" strokeweight="1pt">
                <v:textbox>
                  <w:txbxContent>
                    <w:p w14:paraId="746DEC0F" w14:textId="3F2F5A30" w:rsidR="009551B2" w:rsidRPr="00B75F25" w:rsidRDefault="009551B2" w:rsidP="005D30C6">
                      <w:pPr>
                        <w:pStyle w:val="NoSpacing"/>
                        <w:shd w:val="clear" w:color="auto" w:fill="70AD47" w:themeFill="accent6"/>
                        <w:rPr>
                          <w:rFonts w:ascii="Times New Roman" w:hAnsi="Times New Roman" w:cs="Times New Roman"/>
                          <w:b/>
                        </w:rPr>
                      </w:pPr>
                      <w:r w:rsidRPr="00B75F25">
                        <w:rPr>
                          <w:rFonts w:ascii="Times New Roman" w:hAnsi="Times New Roman" w:cs="Times New Roman"/>
                          <w:b/>
                        </w:rPr>
                        <w:t>Personal factors</w:t>
                      </w:r>
                    </w:p>
                    <w:p w14:paraId="12DA9B37" w14:textId="3869C0FF"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-Social economic status</w:t>
                      </w:r>
                    </w:p>
                    <w:p w14:paraId="3074773E" w14:textId="40E694E1" w:rsidR="009551B2" w:rsidRPr="00B75F25" w:rsidRDefault="009551B2" w:rsidP="005D30C6">
                      <w:pPr>
                        <w:pStyle w:val="NoSpacing"/>
                        <w:shd w:val="clear" w:color="auto" w:fill="70AD47" w:themeFill="accent6"/>
                        <w:rPr>
                          <w:rFonts w:ascii="Times New Roman" w:hAnsi="Times New Roman" w:cs="Times New Roman"/>
                        </w:rPr>
                      </w:pPr>
                      <w:r w:rsidRPr="00B75F25">
                        <w:rPr>
                          <w:rFonts w:ascii="Times New Roman" w:hAnsi="Times New Roman" w:cs="Times New Roman"/>
                        </w:rPr>
                        <w:t>- Health &amp; education</w:t>
                      </w:r>
                    </w:p>
                    <w:p w14:paraId="284EBDF6" w14:textId="4C1DDB57" w:rsidR="009551B2" w:rsidRDefault="009551B2" w:rsidP="005D30C6">
                      <w:pPr>
                        <w:pStyle w:val="NoSpacing"/>
                        <w:shd w:val="clear" w:color="auto" w:fill="70AD47" w:themeFill="accent6"/>
                      </w:pPr>
                      <w:r w:rsidRPr="00B75F25">
                        <w:rPr>
                          <w:rFonts w:ascii="Times New Roman" w:hAnsi="Times New Roman" w:cs="Times New Roman"/>
                        </w:rPr>
                        <w:t>- Place of living</w:t>
                      </w:r>
                    </w:p>
                  </w:txbxContent>
                </v:textbox>
              </v:rect>
            </w:pict>
          </mc:Fallback>
        </mc:AlternateContent>
      </w:r>
    </w:p>
    <w:p w14:paraId="71D74098" w14:textId="77777777" w:rsidR="00BA52E1" w:rsidRPr="00B75F25" w:rsidRDefault="00BA52E1" w:rsidP="00291B12"/>
    <w:p w14:paraId="53EA4057" w14:textId="77777777" w:rsidR="00BA52E1" w:rsidRDefault="00BA52E1" w:rsidP="00291B12"/>
    <w:p w14:paraId="7DCC2A9E" w14:textId="77777777" w:rsidR="00802695" w:rsidRDefault="00802695" w:rsidP="005D30C6">
      <w:pPr>
        <w:rPr>
          <w:rFonts w:ascii="Times New Roman" w:hAnsi="Times New Roman" w:cs="Times New Roman"/>
          <w:b/>
          <w:u w:val="single"/>
        </w:rPr>
      </w:pPr>
    </w:p>
    <w:p w14:paraId="68EA5341" w14:textId="0088C473" w:rsidR="005D30C6" w:rsidRPr="006F56FF" w:rsidRDefault="005D30C6" w:rsidP="005D30C6">
      <w:pPr>
        <w:rPr>
          <w:rFonts w:ascii="Times New Roman" w:hAnsi="Times New Roman" w:cs="Times New Roman"/>
        </w:rPr>
      </w:pPr>
      <w:r w:rsidRPr="006F56FF">
        <w:rPr>
          <w:rFonts w:ascii="Times New Roman" w:hAnsi="Times New Roman" w:cs="Times New Roman"/>
          <w:b/>
          <w:u w:val="single"/>
        </w:rPr>
        <w:t>Source</w:t>
      </w:r>
      <w:r w:rsidRPr="006F56FF">
        <w:rPr>
          <w:rFonts w:ascii="Times New Roman" w:hAnsi="Times New Roman" w:cs="Times New Roman"/>
        </w:rPr>
        <w:t>: Based on Bamberger and Segone (2011, quoted in UNICEF, 2013)</w:t>
      </w:r>
    </w:p>
    <w:p w14:paraId="5CB336B3" w14:textId="77777777" w:rsidR="00BA52E1" w:rsidRDefault="00BA52E1" w:rsidP="004C75E0">
      <w:pPr>
        <w:pStyle w:val="Heading3"/>
        <w:spacing w:line="360" w:lineRule="auto"/>
        <w:rPr>
          <w:rFonts w:ascii="Times New Roman" w:hAnsi="Times New Roman" w:cs="Times New Roman"/>
        </w:rPr>
      </w:pPr>
    </w:p>
    <w:p w14:paraId="45B32182" w14:textId="7356C441" w:rsidR="001120A5" w:rsidRDefault="00055FD3" w:rsidP="00436612">
      <w:pPr>
        <w:pStyle w:val="Heading3"/>
        <w:spacing w:line="360" w:lineRule="auto"/>
        <w:rPr>
          <w:rFonts w:ascii="Times New Roman" w:hAnsi="Times New Roman" w:cs="Times New Roman"/>
        </w:rPr>
      </w:pPr>
      <w:bookmarkStart w:id="14" w:name="_Toc458687343"/>
      <w:r w:rsidRPr="004C75E0">
        <w:rPr>
          <w:rFonts w:ascii="Times New Roman" w:hAnsi="Times New Roman" w:cs="Times New Roman"/>
        </w:rPr>
        <w:t>1.4</w:t>
      </w:r>
      <w:r w:rsidR="003D3DE2" w:rsidRPr="004C75E0">
        <w:rPr>
          <w:rFonts w:ascii="Times New Roman" w:hAnsi="Times New Roman" w:cs="Times New Roman"/>
        </w:rPr>
        <w:t>.2</w:t>
      </w:r>
      <w:r w:rsidR="003D3DE2" w:rsidRPr="004C75E0">
        <w:rPr>
          <w:rFonts w:ascii="Times New Roman" w:hAnsi="Times New Roman" w:cs="Times New Roman"/>
        </w:rPr>
        <w:tab/>
      </w:r>
      <w:r w:rsidR="00707FBA">
        <w:rPr>
          <w:rFonts w:ascii="Times New Roman" w:hAnsi="Times New Roman" w:cs="Times New Roman"/>
        </w:rPr>
        <w:t xml:space="preserve">Main </w:t>
      </w:r>
      <w:r w:rsidR="003B411E" w:rsidRPr="004C75E0">
        <w:rPr>
          <w:rFonts w:ascii="Times New Roman" w:hAnsi="Times New Roman" w:cs="Times New Roman"/>
        </w:rPr>
        <w:t>Data Sources</w:t>
      </w:r>
      <w:r w:rsidR="00707FBA">
        <w:rPr>
          <w:rFonts w:ascii="Times New Roman" w:hAnsi="Times New Roman" w:cs="Times New Roman"/>
        </w:rPr>
        <w:t xml:space="preserve"> and Analysis</w:t>
      </w:r>
      <w:bookmarkEnd w:id="14"/>
      <w:r w:rsidR="001120A5" w:rsidRPr="004C75E0">
        <w:rPr>
          <w:rFonts w:ascii="Times New Roman" w:hAnsi="Times New Roman" w:cs="Times New Roman"/>
        </w:rPr>
        <w:t xml:space="preserve"> </w:t>
      </w:r>
      <w:bookmarkEnd w:id="13"/>
    </w:p>
    <w:p w14:paraId="70BCC76A" w14:textId="77777777" w:rsidR="00436612" w:rsidRPr="00436612" w:rsidRDefault="00436612" w:rsidP="00436612"/>
    <w:p w14:paraId="041941F6" w14:textId="2CDB4986" w:rsidR="003D3DE2" w:rsidRPr="004C75E0" w:rsidRDefault="003F0B71" w:rsidP="00A60BD4">
      <w:pPr>
        <w:spacing w:line="360" w:lineRule="auto"/>
        <w:jc w:val="both"/>
        <w:rPr>
          <w:rFonts w:ascii="Times New Roman" w:hAnsi="Times New Roman" w:cs="Times New Roman"/>
        </w:rPr>
      </w:pPr>
      <w:r>
        <w:rPr>
          <w:rFonts w:ascii="Times New Roman" w:hAnsi="Times New Roman" w:cs="Times New Roman"/>
        </w:rPr>
        <w:t>By design t</w:t>
      </w:r>
      <w:r w:rsidR="00707FBA">
        <w:rPr>
          <w:rFonts w:ascii="Times New Roman" w:hAnsi="Times New Roman" w:cs="Times New Roman"/>
        </w:rPr>
        <w:t xml:space="preserve">his </w:t>
      </w:r>
      <w:r>
        <w:rPr>
          <w:rFonts w:ascii="Times New Roman" w:hAnsi="Times New Roman" w:cs="Times New Roman"/>
        </w:rPr>
        <w:t xml:space="preserve">was </w:t>
      </w:r>
      <w:r w:rsidR="00707FBA">
        <w:rPr>
          <w:rFonts w:ascii="Times New Roman" w:hAnsi="Times New Roman" w:cs="Times New Roman"/>
        </w:rPr>
        <w:t>a desk study</w:t>
      </w:r>
      <w:r>
        <w:rPr>
          <w:rFonts w:ascii="Times New Roman" w:hAnsi="Times New Roman" w:cs="Times New Roman"/>
        </w:rPr>
        <w:t xml:space="preserve"> anchored on content</w:t>
      </w:r>
      <w:r w:rsidR="00436612">
        <w:rPr>
          <w:rFonts w:ascii="Times New Roman" w:hAnsi="Times New Roman" w:cs="Times New Roman"/>
        </w:rPr>
        <w:t xml:space="preserve"> analysis</w:t>
      </w:r>
      <w:r>
        <w:rPr>
          <w:rFonts w:ascii="Times New Roman" w:hAnsi="Times New Roman" w:cs="Times New Roman"/>
        </w:rPr>
        <w:t xml:space="preserve"> of official secondary data</w:t>
      </w:r>
      <w:r w:rsidR="00707FBA">
        <w:rPr>
          <w:rFonts w:ascii="Times New Roman" w:hAnsi="Times New Roman" w:cs="Times New Roman"/>
        </w:rPr>
        <w:t xml:space="preserve">. Thus, all the data utilised in the study came from official government sources, international agencies and other studies. Specifically, </w:t>
      </w:r>
      <w:r w:rsidR="001F3844">
        <w:rPr>
          <w:rFonts w:ascii="Times New Roman" w:hAnsi="Times New Roman" w:cs="Times New Roman"/>
        </w:rPr>
        <w:t>data used to analyse trends and gaps in progress towards achieving education for all and related millennium development goals mainly came from the Ministry of Education’s Educational Statistical Bulletins for the period 1990 – 2014 and completed by data from the Central Statistical Offices’ 2010 Census of Population and Housing (2012). Data used to analyse</w:t>
      </w:r>
      <w:r w:rsidR="00436612">
        <w:rPr>
          <w:rFonts w:ascii="Times New Roman" w:hAnsi="Times New Roman" w:cs="Times New Roman"/>
        </w:rPr>
        <w:t xml:space="preserve"> patterns, </w:t>
      </w:r>
      <w:r w:rsidR="001F3844">
        <w:rPr>
          <w:rFonts w:ascii="Times New Roman" w:hAnsi="Times New Roman" w:cs="Times New Roman"/>
        </w:rPr>
        <w:t>trends</w:t>
      </w:r>
      <w:r w:rsidR="00436612">
        <w:rPr>
          <w:rFonts w:ascii="Times New Roman" w:hAnsi="Times New Roman" w:cs="Times New Roman"/>
        </w:rPr>
        <w:t xml:space="preserve"> and gaps</w:t>
      </w:r>
      <w:r w:rsidR="001F3844">
        <w:rPr>
          <w:rFonts w:ascii="Times New Roman" w:hAnsi="Times New Roman" w:cs="Times New Roman"/>
        </w:rPr>
        <w:t xml:space="preserve"> in domestic education financing was mainly drawn from the Ministry of Finance’s National Budget Speeches (2010-2014), the Ministry of Finances’ Estimates of Revenue and Expenditure</w:t>
      </w:r>
      <w:r w:rsidR="00436612">
        <w:rPr>
          <w:rFonts w:ascii="Times New Roman" w:hAnsi="Times New Roman" w:cs="Times New Roman"/>
        </w:rPr>
        <w:t xml:space="preserve"> (</w:t>
      </w:r>
      <w:r w:rsidR="001F3844">
        <w:rPr>
          <w:rFonts w:ascii="Times New Roman" w:hAnsi="Times New Roman" w:cs="Times New Roman"/>
        </w:rPr>
        <w:t>Yellow Book</w:t>
      </w:r>
      <w:r>
        <w:rPr>
          <w:rFonts w:ascii="Times New Roman" w:hAnsi="Times New Roman" w:cs="Times New Roman"/>
        </w:rPr>
        <w:t>s</w:t>
      </w:r>
      <w:r w:rsidR="001F3844">
        <w:rPr>
          <w:rFonts w:ascii="Times New Roman" w:hAnsi="Times New Roman" w:cs="Times New Roman"/>
        </w:rPr>
        <w:t>) for the period 2010-2014, the Ministry of Finance’</w:t>
      </w:r>
      <w:r w:rsidR="00436612">
        <w:rPr>
          <w:rFonts w:ascii="Times New Roman" w:hAnsi="Times New Roman" w:cs="Times New Roman"/>
        </w:rPr>
        <w:t>s Financial Reports (</w:t>
      </w:r>
      <w:r w:rsidR="001F3844">
        <w:rPr>
          <w:rFonts w:ascii="Times New Roman" w:hAnsi="Times New Roman" w:cs="Times New Roman"/>
        </w:rPr>
        <w:t>2010-2014)</w:t>
      </w:r>
      <w:r w:rsidR="00436612">
        <w:rPr>
          <w:rFonts w:ascii="Times New Roman" w:hAnsi="Times New Roman" w:cs="Times New Roman"/>
        </w:rPr>
        <w:t xml:space="preserve"> and the African Development Bank (AfDB) online budget database for African. </w:t>
      </w:r>
      <w:r w:rsidR="001120A5" w:rsidRPr="004C75E0">
        <w:rPr>
          <w:rFonts w:ascii="Times New Roman" w:hAnsi="Times New Roman" w:cs="Times New Roman"/>
        </w:rPr>
        <w:t xml:space="preserve">Content analysis of documents obtained </w:t>
      </w:r>
      <w:r w:rsidR="007E651A" w:rsidRPr="004C75E0">
        <w:rPr>
          <w:rFonts w:ascii="Times New Roman" w:hAnsi="Times New Roman" w:cs="Times New Roman"/>
        </w:rPr>
        <w:t xml:space="preserve">was </w:t>
      </w:r>
      <w:r w:rsidR="001120A5" w:rsidRPr="004C75E0">
        <w:rPr>
          <w:rFonts w:ascii="Times New Roman" w:hAnsi="Times New Roman" w:cs="Times New Roman"/>
        </w:rPr>
        <w:t>carried out based o</w:t>
      </w:r>
      <w:r w:rsidR="007E651A" w:rsidRPr="004C75E0">
        <w:rPr>
          <w:rFonts w:ascii="Times New Roman" w:hAnsi="Times New Roman" w:cs="Times New Roman"/>
        </w:rPr>
        <w:t xml:space="preserve">n main </w:t>
      </w:r>
      <w:r w:rsidR="001120A5" w:rsidRPr="004C75E0">
        <w:rPr>
          <w:rFonts w:ascii="Times New Roman" w:hAnsi="Times New Roman" w:cs="Times New Roman"/>
        </w:rPr>
        <w:t>research themes. At the back of t</w:t>
      </w:r>
      <w:r w:rsidR="007E651A" w:rsidRPr="004C75E0">
        <w:rPr>
          <w:rFonts w:ascii="Times New Roman" w:hAnsi="Times New Roman" w:cs="Times New Roman"/>
        </w:rPr>
        <w:t xml:space="preserve">he mind during content analysis was </w:t>
      </w:r>
      <w:r w:rsidR="001120A5" w:rsidRPr="004C75E0">
        <w:rPr>
          <w:rFonts w:ascii="Times New Roman" w:hAnsi="Times New Roman" w:cs="Times New Roman"/>
        </w:rPr>
        <w:t>the limitation of secondary data in that parties and institutions with their own biases might have c</w:t>
      </w:r>
      <w:bookmarkStart w:id="15" w:name="_Toc434933516"/>
      <w:r w:rsidR="003D3DE2" w:rsidRPr="004C75E0">
        <w:rPr>
          <w:rFonts w:ascii="Times New Roman" w:hAnsi="Times New Roman" w:cs="Times New Roman"/>
        </w:rPr>
        <w:t>ollected it for other purposes.</w:t>
      </w:r>
    </w:p>
    <w:bookmarkEnd w:id="15"/>
    <w:p w14:paraId="7969D4B4" w14:textId="6F980847" w:rsidR="003C2235" w:rsidRPr="004C75E0" w:rsidRDefault="00436612" w:rsidP="003F0B71">
      <w:pPr>
        <w:spacing w:line="360" w:lineRule="auto"/>
        <w:jc w:val="both"/>
        <w:rPr>
          <w:rFonts w:ascii="Times New Roman" w:hAnsi="Times New Roman" w:cs="Times New Roman"/>
        </w:rPr>
      </w:pPr>
      <w:r>
        <w:rPr>
          <w:rFonts w:ascii="Times New Roman" w:hAnsi="Times New Roman" w:cs="Times New Roman"/>
        </w:rPr>
        <w:t xml:space="preserve">Limited </w:t>
      </w:r>
      <w:r w:rsidR="001120A5" w:rsidRPr="004C75E0">
        <w:rPr>
          <w:rFonts w:ascii="Times New Roman" w:hAnsi="Times New Roman" w:cs="Times New Roman"/>
        </w:rPr>
        <w:t>key informant interviews</w:t>
      </w:r>
      <w:r>
        <w:rPr>
          <w:rFonts w:ascii="Times New Roman" w:hAnsi="Times New Roman" w:cs="Times New Roman"/>
        </w:rPr>
        <w:t xml:space="preserve"> were conducted to complement the bulk of content analysis on which the study was anchored</w:t>
      </w:r>
      <w:r w:rsidR="003F0B71">
        <w:rPr>
          <w:rFonts w:ascii="Times New Roman" w:hAnsi="Times New Roman" w:cs="Times New Roman"/>
        </w:rPr>
        <w:t>, however.</w:t>
      </w:r>
      <w:r>
        <w:rPr>
          <w:rFonts w:ascii="Times New Roman" w:hAnsi="Times New Roman" w:cs="Times New Roman"/>
        </w:rPr>
        <w:t xml:space="preserve"> These key informant interviews were conducted with officials from the Ministry of Education’s Planning and Information Department at Headquarters in Lusaka, the</w:t>
      </w:r>
      <w:r w:rsidR="003F0B71">
        <w:rPr>
          <w:rFonts w:ascii="Times New Roman" w:hAnsi="Times New Roman" w:cs="Times New Roman"/>
        </w:rPr>
        <w:t xml:space="preserve"> Ministry of Finance’s Budget Office and the</w:t>
      </w:r>
      <w:r>
        <w:rPr>
          <w:rFonts w:ascii="Times New Roman" w:hAnsi="Times New Roman" w:cs="Times New Roman"/>
        </w:rPr>
        <w:t xml:space="preserve"> Zambia National Education Coalition Secretariat</w:t>
      </w:r>
      <w:r w:rsidR="003F0B71">
        <w:rPr>
          <w:rFonts w:ascii="Times New Roman" w:hAnsi="Times New Roman" w:cs="Times New Roman"/>
        </w:rPr>
        <w:t xml:space="preserve"> to seek clarifications on some areas that might not have been apparent from secondary data sources</w:t>
      </w:r>
      <w:r w:rsidR="001120A5" w:rsidRPr="004C75E0">
        <w:rPr>
          <w:rFonts w:ascii="Times New Roman" w:hAnsi="Times New Roman" w:cs="Times New Roman"/>
        </w:rPr>
        <w:t>.</w:t>
      </w:r>
      <w:r w:rsidR="003F0B71">
        <w:rPr>
          <w:rFonts w:ascii="Times New Roman" w:hAnsi="Times New Roman" w:cs="Times New Roman"/>
        </w:rPr>
        <w:t xml:space="preserve"> The draft report was then subjected to a validation workshop at which a broad section of </w:t>
      </w:r>
      <w:r w:rsidR="00794BD1">
        <w:rPr>
          <w:rFonts w:ascii="Times New Roman" w:hAnsi="Times New Roman" w:cs="Times New Roman"/>
        </w:rPr>
        <w:t xml:space="preserve">about twenty (20) </w:t>
      </w:r>
      <w:r w:rsidR="003F0B71">
        <w:rPr>
          <w:rFonts w:ascii="Times New Roman" w:hAnsi="Times New Roman" w:cs="Times New Roman"/>
        </w:rPr>
        <w:t xml:space="preserve">education stakeholders </w:t>
      </w:r>
      <w:r w:rsidR="00794BD1">
        <w:rPr>
          <w:rFonts w:ascii="Times New Roman" w:hAnsi="Times New Roman" w:cs="Times New Roman"/>
        </w:rPr>
        <w:t>(mainly</w:t>
      </w:r>
      <w:r w:rsidR="003F0B71">
        <w:rPr>
          <w:rFonts w:ascii="Times New Roman" w:hAnsi="Times New Roman" w:cs="Times New Roman"/>
        </w:rPr>
        <w:t xml:space="preserve"> from Government, Civil Society Organisations and representatives of Zambia’s International Co-operating Partners) were able to give their feedback before the report was finalised</w:t>
      </w:r>
      <w:r w:rsidR="00794BD1">
        <w:rPr>
          <w:rFonts w:ascii="Times New Roman" w:hAnsi="Times New Roman" w:cs="Times New Roman"/>
        </w:rPr>
        <w:t xml:space="preserve">. </w:t>
      </w:r>
      <w:r w:rsidR="00B52238" w:rsidRPr="004C75E0">
        <w:rPr>
          <w:rFonts w:ascii="Times New Roman" w:hAnsi="Times New Roman" w:cs="Times New Roman"/>
        </w:rPr>
        <w:t>The feedback sessions</w:t>
      </w:r>
      <w:r w:rsidR="003F0B71">
        <w:rPr>
          <w:rFonts w:ascii="Times New Roman" w:hAnsi="Times New Roman" w:cs="Times New Roman"/>
        </w:rPr>
        <w:t xml:space="preserve"> during the validation workshop</w:t>
      </w:r>
      <w:r w:rsidR="00B52238" w:rsidRPr="004C75E0">
        <w:rPr>
          <w:rFonts w:ascii="Times New Roman" w:hAnsi="Times New Roman" w:cs="Times New Roman"/>
        </w:rPr>
        <w:t xml:space="preserve"> </w:t>
      </w:r>
      <w:r w:rsidR="001120A5" w:rsidRPr="004C75E0">
        <w:rPr>
          <w:rFonts w:ascii="Times New Roman" w:hAnsi="Times New Roman" w:cs="Times New Roman"/>
        </w:rPr>
        <w:t>strengthen</w:t>
      </w:r>
      <w:r w:rsidR="00B52238" w:rsidRPr="004C75E0">
        <w:rPr>
          <w:rFonts w:ascii="Times New Roman" w:hAnsi="Times New Roman" w:cs="Times New Roman"/>
        </w:rPr>
        <w:t>ed</w:t>
      </w:r>
      <w:r w:rsidR="001120A5" w:rsidRPr="004C75E0">
        <w:rPr>
          <w:rFonts w:ascii="Times New Roman" w:hAnsi="Times New Roman" w:cs="Times New Roman"/>
        </w:rPr>
        <w:t xml:space="preserve"> th</w:t>
      </w:r>
      <w:r w:rsidR="003F0B71">
        <w:rPr>
          <w:rFonts w:ascii="Times New Roman" w:hAnsi="Times New Roman" w:cs="Times New Roman"/>
        </w:rPr>
        <w:t xml:space="preserve">e overall </w:t>
      </w:r>
      <w:r w:rsidR="00794BD1">
        <w:rPr>
          <w:rFonts w:ascii="Times New Roman" w:hAnsi="Times New Roman" w:cs="Times New Roman"/>
        </w:rPr>
        <w:t>understanding</w:t>
      </w:r>
      <w:r w:rsidR="001120A5" w:rsidRPr="004C75E0">
        <w:rPr>
          <w:rFonts w:ascii="Times New Roman" w:hAnsi="Times New Roman" w:cs="Times New Roman"/>
        </w:rPr>
        <w:t xml:space="preserve"> and increase</w:t>
      </w:r>
      <w:r w:rsidR="00B52238" w:rsidRPr="004C75E0">
        <w:rPr>
          <w:rFonts w:ascii="Times New Roman" w:hAnsi="Times New Roman" w:cs="Times New Roman"/>
        </w:rPr>
        <w:t>d</w:t>
      </w:r>
      <w:r w:rsidR="001120A5" w:rsidRPr="004C75E0">
        <w:rPr>
          <w:rFonts w:ascii="Times New Roman" w:hAnsi="Times New Roman" w:cs="Times New Roman"/>
        </w:rPr>
        <w:t xml:space="preserve"> the researcher’s ability to interpret findings and package the</w:t>
      </w:r>
      <w:r w:rsidR="00B52238" w:rsidRPr="004C75E0">
        <w:rPr>
          <w:rFonts w:ascii="Times New Roman" w:hAnsi="Times New Roman" w:cs="Times New Roman"/>
        </w:rPr>
        <w:t>m in a wa</w:t>
      </w:r>
      <w:r w:rsidR="00794BD1">
        <w:rPr>
          <w:rFonts w:ascii="Times New Roman" w:hAnsi="Times New Roman" w:cs="Times New Roman"/>
        </w:rPr>
        <w:t xml:space="preserve">y that could </w:t>
      </w:r>
      <w:r w:rsidR="005C340E" w:rsidRPr="004C75E0">
        <w:rPr>
          <w:rFonts w:ascii="Times New Roman" w:hAnsi="Times New Roman" w:cs="Times New Roman"/>
        </w:rPr>
        <w:t>most aptly translate</w:t>
      </w:r>
      <w:r w:rsidR="00B52238" w:rsidRPr="004C75E0">
        <w:rPr>
          <w:rFonts w:ascii="Times New Roman" w:hAnsi="Times New Roman" w:cs="Times New Roman"/>
        </w:rPr>
        <w:t xml:space="preserve"> finding</w:t>
      </w:r>
      <w:r w:rsidR="00BA1746">
        <w:rPr>
          <w:rFonts w:ascii="Times New Roman" w:hAnsi="Times New Roman" w:cs="Times New Roman"/>
        </w:rPr>
        <w:t>s</w:t>
      </w:r>
      <w:r w:rsidR="00B52238" w:rsidRPr="004C75E0">
        <w:rPr>
          <w:rFonts w:ascii="Times New Roman" w:hAnsi="Times New Roman" w:cs="Times New Roman"/>
        </w:rPr>
        <w:t xml:space="preserve"> from the language of research to</w:t>
      </w:r>
      <w:r w:rsidR="005C340E" w:rsidRPr="004C75E0">
        <w:rPr>
          <w:rFonts w:ascii="Times New Roman" w:hAnsi="Times New Roman" w:cs="Times New Roman"/>
        </w:rPr>
        <w:t xml:space="preserve"> the realm of action</w:t>
      </w:r>
      <w:r w:rsidR="001120A5" w:rsidRPr="004C75E0">
        <w:rPr>
          <w:rFonts w:ascii="Times New Roman" w:hAnsi="Times New Roman" w:cs="Times New Roman"/>
        </w:rPr>
        <w:t>.</w:t>
      </w:r>
    </w:p>
    <w:p w14:paraId="6C1201C9" w14:textId="77777777" w:rsidR="003C2235" w:rsidRPr="004C75E0" w:rsidRDefault="003C2235" w:rsidP="00A60BD4">
      <w:pPr>
        <w:spacing w:line="360" w:lineRule="auto"/>
        <w:contextualSpacing/>
        <w:rPr>
          <w:rFonts w:ascii="Times New Roman" w:hAnsi="Times New Roman" w:cs="Times New Roman"/>
        </w:rPr>
      </w:pPr>
    </w:p>
    <w:p w14:paraId="09DB7ABA" w14:textId="77777777" w:rsidR="003C2235" w:rsidRPr="004C75E0" w:rsidRDefault="003C2235" w:rsidP="00A60BD4">
      <w:pPr>
        <w:spacing w:line="360" w:lineRule="auto"/>
        <w:contextualSpacing/>
        <w:rPr>
          <w:rFonts w:ascii="Times New Roman" w:hAnsi="Times New Roman" w:cs="Times New Roman"/>
        </w:rPr>
      </w:pPr>
    </w:p>
    <w:p w14:paraId="43FFEB0A" w14:textId="77777777" w:rsidR="003C2235" w:rsidRPr="004C75E0" w:rsidRDefault="003C2235" w:rsidP="00A60BD4">
      <w:pPr>
        <w:spacing w:line="360" w:lineRule="auto"/>
        <w:contextualSpacing/>
        <w:rPr>
          <w:rFonts w:ascii="Times New Roman" w:hAnsi="Times New Roman" w:cs="Times New Roman"/>
        </w:rPr>
      </w:pPr>
    </w:p>
    <w:p w14:paraId="4BE8C4AF" w14:textId="77777777" w:rsidR="003C2235" w:rsidRPr="004C75E0" w:rsidRDefault="003C2235" w:rsidP="00A60BD4">
      <w:pPr>
        <w:spacing w:line="360" w:lineRule="auto"/>
        <w:contextualSpacing/>
        <w:rPr>
          <w:rFonts w:ascii="Times New Roman" w:hAnsi="Times New Roman" w:cs="Times New Roman"/>
        </w:rPr>
      </w:pPr>
    </w:p>
    <w:p w14:paraId="3BCE568D" w14:textId="77777777" w:rsidR="003C2235" w:rsidRPr="004C75E0" w:rsidRDefault="003C2235" w:rsidP="00A60BD4">
      <w:pPr>
        <w:spacing w:line="360" w:lineRule="auto"/>
        <w:contextualSpacing/>
        <w:rPr>
          <w:rFonts w:ascii="Times New Roman" w:hAnsi="Times New Roman" w:cs="Times New Roman"/>
        </w:rPr>
      </w:pPr>
    </w:p>
    <w:p w14:paraId="75DB250E" w14:textId="77777777" w:rsidR="003C2235" w:rsidRPr="004C75E0" w:rsidRDefault="003C2235" w:rsidP="00A60BD4">
      <w:pPr>
        <w:spacing w:line="360" w:lineRule="auto"/>
        <w:contextualSpacing/>
        <w:rPr>
          <w:rFonts w:ascii="Times New Roman" w:hAnsi="Times New Roman" w:cs="Times New Roman"/>
        </w:rPr>
      </w:pPr>
    </w:p>
    <w:p w14:paraId="73296F03" w14:textId="77777777" w:rsidR="005C340E" w:rsidRDefault="005C340E" w:rsidP="00A60BD4">
      <w:pPr>
        <w:spacing w:line="360" w:lineRule="auto"/>
        <w:contextualSpacing/>
        <w:rPr>
          <w:rFonts w:ascii="Times New Roman" w:hAnsi="Times New Roman" w:cs="Times New Roman"/>
        </w:rPr>
      </w:pPr>
    </w:p>
    <w:p w14:paraId="1794B9B5" w14:textId="77777777" w:rsidR="00BA1746" w:rsidRPr="004C75E0" w:rsidRDefault="00BA1746" w:rsidP="00A60BD4">
      <w:pPr>
        <w:spacing w:line="360" w:lineRule="auto"/>
        <w:contextualSpacing/>
        <w:rPr>
          <w:rFonts w:ascii="Times New Roman" w:hAnsi="Times New Roman" w:cs="Times New Roman"/>
        </w:rPr>
      </w:pPr>
    </w:p>
    <w:p w14:paraId="3FA512B8" w14:textId="77777777" w:rsidR="000360EB" w:rsidRPr="004C75E0" w:rsidRDefault="00D52E05" w:rsidP="001C3022">
      <w:pPr>
        <w:pStyle w:val="Heading1"/>
        <w:spacing w:line="360" w:lineRule="auto"/>
        <w:rPr>
          <w:rFonts w:ascii="Times New Roman" w:hAnsi="Times New Roman" w:cs="Times New Roman"/>
        </w:rPr>
      </w:pPr>
      <w:bookmarkStart w:id="16" w:name="_Toc458687344"/>
      <w:r w:rsidRPr="004C75E0">
        <w:rPr>
          <w:rFonts w:ascii="Times New Roman" w:hAnsi="Times New Roman" w:cs="Times New Roman"/>
        </w:rPr>
        <w:t>2</w:t>
      </w:r>
      <w:r w:rsidR="003C2235" w:rsidRPr="004C75E0">
        <w:rPr>
          <w:rFonts w:ascii="Times New Roman" w:hAnsi="Times New Roman" w:cs="Times New Roman"/>
        </w:rPr>
        <w:t>.0</w:t>
      </w:r>
      <w:r w:rsidRPr="004C75E0">
        <w:rPr>
          <w:rFonts w:ascii="Times New Roman" w:hAnsi="Times New Roman" w:cs="Times New Roman"/>
        </w:rPr>
        <w:t>: C</w:t>
      </w:r>
      <w:r w:rsidR="00605B67" w:rsidRPr="004C75E0">
        <w:rPr>
          <w:rFonts w:ascii="Times New Roman" w:hAnsi="Times New Roman" w:cs="Times New Roman"/>
        </w:rPr>
        <w:t>ontext</w:t>
      </w:r>
      <w:r w:rsidR="00180985" w:rsidRPr="004C75E0">
        <w:rPr>
          <w:rFonts w:ascii="Times New Roman" w:hAnsi="Times New Roman" w:cs="Times New Roman"/>
        </w:rPr>
        <w:t>ual Factors Influencing E</w:t>
      </w:r>
      <w:r w:rsidR="00605B67" w:rsidRPr="004C75E0">
        <w:rPr>
          <w:rFonts w:ascii="Times New Roman" w:hAnsi="Times New Roman" w:cs="Times New Roman"/>
        </w:rPr>
        <w:t>ducation</w:t>
      </w:r>
      <w:r w:rsidRPr="004C75E0">
        <w:rPr>
          <w:rFonts w:ascii="Times New Roman" w:hAnsi="Times New Roman" w:cs="Times New Roman"/>
        </w:rPr>
        <w:t xml:space="preserve"> in Zambia</w:t>
      </w:r>
      <w:bookmarkEnd w:id="16"/>
    </w:p>
    <w:p w14:paraId="3ACBFF00" w14:textId="2F33C714" w:rsidR="00605B67" w:rsidRPr="004C75E0" w:rsidRDefault="00605B67" w:rsidP="00A60BD4">
      <w:pPr>
        <w:pStyle w:val="Heading2"/>
        <w:spacing w:line="360" w:lineRule="auto"/>
        <w:rPr>
          <w:rFonts w:ascii="Times New Roman" w:hAnsi="Times New Roman" w:cs="Times New Roman"/>
        </w:rPr>
      </w:pPr>
      <w:bookmarkStart w:id="17" w:name="_Toc458687345"/>
      <w:r w:rsidRPr="004C75E0">
        <w:rPr>
          <w:rFonts w:ascii="Times New Roman" w:hAnsi="Times New Roman" w:cs="Times New Roman"/>
        </w:rPr>
        <w:t>2.1</w:t>
      </w:r>
      <w:r w:rsidRPr="004C75E0">
        <w:rPr>
          <w:rFonts w:ascii="Times New Roman" w:hAnsi="Times New Roman" w:cs="Times New Roman"/>
        </w:rPr>
        <w:tab/>
      </w:r>
      <w:r w:rsidR="00B84A25" w:rsidRPr="004C75E0">
        <w:rPr>
          <w:rFonts w:ascii="Times New Roman" w:hAnsi="Times New Roman" w:cs="Times New Roman"/>
        </w:rPr>
        <w:t>Population</w:t>
      </w:r>
      <w:r w:rsidR="00693A1C">
        <w:rPr>
          <w:rFonts w:ascii="Times New Roman" w:hAnsi="Times New Roman" w:cs="Times New Roman"/>
        </w:rPr>
        <w:t xml:space="preserve"> F</w:t>
      </w:r>
      <w:r w:rsidR="00D1397C" w:rsidRPr="004C75E0">
        <w:rPr>
          <w:rFonts w:ascii="Times New Roman" w:hAnsi="Times New Roman" w:cs="Times New Roman"/>
        </w:rPr>
        <w:t>actors</w:t>
      </w:r>
      <w:bookmarkEnd w:id="17"/>
    </w:p>
    <w:p w14:paraId="3F027AE4" w14:textId="6C327D11" w:rsidR="00A9518D" w:rsidRPr="004C75E0" w:rsidRDefault="00D1397C"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 xml:space="preserve">Zambia has an </w:t>
      </w:r>
      <w:r w:rsidR="00BA1746">
        <w:rPr>
          <w:rFonts w:ascii="Times New Roman" w:hAnsi="Times New Roman" w:cs="Times New Roman"/>
          <w:sz w:val="24"/>
          <w:szCs w:val="24"/>
        </w:rPr>
        <w:t>estimated population of over 14</w:t>
      </w:r>
      <w:r w:rsidRPr="004C75E0">
        <w:rPr>
          <w:rFonts w:ascii="Times New Roman" w:hAnsi="Times New Roman" w:cs="Times New Roman"/>
          <w:sz w:val="24"/>
          <w:szCs w:val="24"/>
        </w:rPr>
        <w:t xml:space="preserve"> million people</w:t>
      </w:r>
      <w:r w:rsidRPr="004C75E0">
        <w:rPr>
          <w:rStyle w:val="FootnoteReference"/>
          <w:rFonts w:ascii="Times New Roman" w:hAnsi="Times New Roman" w:cs="Times New Roman"/>
          <w:sz w:val="24"/>
          <w:szCs w:val="24"/>
        </w:rPr>
        <w:footnoteReference w:id="1"/>
      </w:r>
      <w:r w:rsidRPr="004C75E0">
        <w:rPr>
          <w:rFonts w:ascii="Times New Roman" w:hAnsi="Times New Roman" w:cs="Times New Roman"/>
          <w:sz w:val="24"/>
          <w:szCs w:val="24"/>
        </w:rPr>
        <w:t>.</w:t>
      </w:r>
      <w:r w:rsidR="00605B67" w:rsidRPr="004C75E0">
        <w:rPr>
          <w:rFonts w:ascii="Times New Roman" w:hAnsi="Times New Roman" w:cs="Times New Roman"/>
          <w:sz w:val="24"/>
          <w:szCs w:val="24"/>
        </w:rPr>
        <w:t xml:space="preserve"> </w:t>
      </w:r>
      <w:r w:rsidRPr="004C75E0">
        <w:rPr>
          <w:rFonts w:ascii="Times New Roman" w:hAnsi="Times New Roman" w:cs="Times New Roman"/>
          <w:sz w:val="24"/>
          <w:szCs w:val="24"/>
        </w:rPr>
        <w:t xml:space="preserve">Despite the country </w:t>
      </w:r>
      <w:r w:rsidR="00605B67" w:rsidRPr="004C75E0">
        <w:rPr>
          <w:rFonts w:ascii="Times New Roman" w:hAnsi="Times New Roman" w:cs="Times New Roman"/>
          <w:sz w:val="24"/>
          <w:szCs w:val="24"/>
        </w:rPr>
        <w:t>still</w:t>
      </w:r>
      <w:r w:rsidRPr="004C75E0">
        <w:rPr>
          <w:rFonts w:ascii="Times New Roman" w:hAnsi="Times New Roman" w:cs="Times New Roman"/>
          <w:sz w:val="24"/>
          <w:szCs w:val="24"/>
        </w:rPr>
        <w:t xml:space="preserve"> </w:t>
      </w:r>
      <w:r w:rsidR="00605B67" w:rsidRPr="004C75E0">
        <w:rPr>
          <w:rFonts w:ascii="Times New Roman" w:hAnsi="Times New Roman" w:cs="Times New Roman"/>
          <w:sz w:val="24"/>
          <w:szCs w:val="24"/>
        </w:rPr>
        <w:t>sparsely populated, with a population density of 17.4 persons per km</w:t>
      </w:r>
      <w:r w:rsidR="00605B67" w:rsidRPr="004C75E0">
        <w:rPr>
          <w:rFonts w:ascii="Times New Roman" w:hAnsi="Times New Roman" w:cs="Times New Roman"/>
          <w:sz w:val="24"/>
          <w:szCs w:val="24"/>
          <w:vertAlign w:val="superscript"/>
        </w:rPr>
        <w:t>2</w:t>
      </w:r>
      <w:r w:rsidR="00605B67" w:rsidRPr="004C75E0">
        <w:rPr>
          <w:rFonts w:ascii="Times New Roman" w:hAnsi="Times New Roman" w:cs="Times New Roman"/>
          <w:sz w:val="24"/>
          <w:szCs w:val="24"/>
        </w:rPr>
        <w:t xml:space="preserve"> in 2010</w:t>
      </w:r>
      <w:r w:rsidRPr="004C75E0">
        <w:rPr>
          <w:rFonts w:ascii="Times New Roman" w:hAnsi="Times New Roman" w:cs="Times New Roman"/>
          <w:sz w:val="24"/>
          <w:szCs w:val="24"/>
        </w:rPr>
        <w:t xml:space="preserve">, the country has a very young </w:t>
      </w:r>
      <w:r w:rsidR="0076318E" w:rsidRPr="004C75E0">
        <w:rPr>
          <w:rFonts w:ascii="Times New Roman" w:hAnsi="Times New Roman" w:cs="Times New Roman"/>
          <w:sz w:val="24"/>
          <w:szCs w:val="24"/>
        </w:rPr>
        <w:t>population</w:t>
      </w:r>
      <w:r w:rsidR="00A835B8" w:rsidRPr="004C75E0">
        <w:rPr>
          <w:rFonts w:ascii="Times New Roman" w:hAnsi="Times New Roman" w:cs="Times New Roman"/>
          <w:sz w:val="24"/>
          <w:szCs w:val="24"/>
        </w:rPr>
        <w:t xml:space="preserve"> and a high population growth rate</w:t>
      </w:r>
      <w:r w:rsidR="0076318E" w:rsidRPr="004C75E0">
        <w:rPr>
          <w:rFonts w:ascii="Times New Roman" w:hAnsi="Times New Roman" w:cs="Times New Roman"/>
          <w:sz w:val="24"/>
          <w:szCs w:val="24"/>
        </w:rPr>
        <w:t xml:space="preserve"> (</w:t>
      </w:r>
      <w:r w:rsidRPr="004C75E0">
        <w:rPr>
          <w:rFonts w:ascii="Times New Roman" w:hAnsi="Times New Roman" w:cs="Times New Roman"/>
          <w:sz w:val="24"/>
          <w:szCs w:val="24"/>
        </w:rPr>
        <w:t>CSO, 2012).</w:t>
      </w:r>
      <w:r w:rsidR="00762607" w:rsidRPr="004C75E0">
        <w:rPr>
          <w:rFonts w:ascii="Times New Roman" w:hAnsi="Times New Roman" w:cs="Times New Roman"/>
          <w:sz w:val="24"/>
          <w:szCs w:val="24"/>
        </w:rPr>
        <w:t xml:space="preserve"> </w:t>
      </w:r>
      <w:r w:rsidR="005C340E" w:rsidRPr="004C75E0">
        <w:rPr>
          <w:rFonts w:ascii="Times New Roman" w:hAnsi="Times New Roman" w:cs="Times New Roman"/>
          <w:sz w:val="24"/>
          <w:szCs w:val="24"/>
        </w:rPr>
        <w:t>Latest c</w:t>
      </w:r>
      <w:r w:rsidR="00762607" w:rsidRPr="004C75E0">
        <w:rPr>
          <w:rFonts w:ascii="Times New Roman" w:hAnsi="Times New Roman" w:cs="Times New Roman"/>
          <w:sz w:val="24"/>
          <w:szCs w:val="24"/>
        </w:rPr>
        <w:t>ensus data estimates the child population (18 years and younger) at 52.5 percent</w:t>
      </w:r>
      <w:r w:rsidR="0061626A">
        <w:rPr>
          <w:rFonts w:ascii="Times New Roman" w:hAnsi="Times New Roman" w:cs="Times New Roman"/>
          <w:sz w:val="24"/>
          <w:szCs w:val="24"/>
        </w:rPr>
        <w:t xml:space="preserve"> (about 7.5 million)</w:t>
      </w:r>
      <w:r w:rsidR="00762607" w:rsidRPr="004C75E0">
        <w:rPr>
          <w:rFonts w:ascii="Times New Roman" w:hAnsi="Times New Roman" w:cs="Times New Roman"/>
          <w:sz w:val="24"/>
          <w:szCs w:val="24"/>
        </w:rPr>
        <w:t xml:space="preserve"> of the overall country population</w:t>
      </w:r>
      <w:r w:rsidR="00A835B8" w:rsidRPr="004C75E0">
        <w:rPr>
          <w:rFonts w:ascii="Times New Roman" w:hAnsi="Times New Roman" w:cs="Times New Roman"/>
          <w:sz w:val="24"/>
          <w:szCs w:val="24"/>
        </w:rPr>
        <w:t xml:space="preserve"> and an annual population growth rate of about </w:t>
      </w:r>
      <w:r w:rsidR="0044653C" w:rsidRPr="00BA1746">
        <w:rPr>
          <w:rFonts w:ascii="Times New Roman" w:hAnsi="Times New Roman" w:cs="Times New Roman"/>
          <w:sz w:val="24"/>
          <w:szCs w:val="24"/>
        </w:rPr>
        <w:t>2.8</w:t>
      </w:r>
      <w:r w:rsidR="00A835B8" w:rsidRPr="00BA1746">
        <w:rPr>
          <w:rFonts w:ascii="Times New Roman" w:hAnsi="Times New Roman" w:cs="Times New Roman"/>
          <w:sz w:val="24"/>
          <w:szCs w:val="24"/>
        </w:rPr>
        <w:t xml:space="preserve"> percent</w:t>
      </w:r>
      <w:r w:rsidR="00762607" w:rsidRPr="004C75E0">
        <w:rPr>
          <w:rFonts w:ascii="Times New Roman" w:hAnsi="Times New Roman" w:cs="Times New Roman"/>
          <w:sz w:val="24"/>
          <w:szCs w:val="24"/>
        </w:rPr>
        <w:t xml:space="preserve"> (CSO, 2012). </w:t>
      </w:r>
      <w:r w:rsidR="00777C89" w:rsidRPr="004C75E0">
        <w:rPr>
          <w:rFonts w:ascii="Times New Roman" w:hAnsi="Times New Roman" w:cs="Times New Roman"/>
          <w:sz w:val="24"/>
          <w:szCs w:val="24"/>
        </w:rPr>
        <w:t xml:space="preserve">The size, growth rate </w:t>
      </w:r>
      <w:r w:rsidR="00582C1B" w:rsidRPr="004C75E0">
        <w:rPr>
          <w:rFonts w:ascii="Times New Roman" w:hAnsi="Times New Roman" w:cs="Times New Roman"/>
          <w:sz w:val="24"/>
          <w:szCs w:val="24"/>
        </w:rPr>
        <w:t>and age</w:t>
      </w:r>
      <w:r w:rsidR="0076318E" w:rsidRPr="004C75E0">
        <w:rPr>
          <w:rFonts w:ascii="Times New Roman" w:hAnsi="Times New Roman" w:cs="Times New Roman"/>
          <w:sz w:val="24"/>
          <w:szCs w:val="24"/>
        </w:rPr>
        <w:t xml:space="preserve"> composition of Zambia</w:t>
      </w:r>
      <w:r w:rsidR="00777C89" w:rsidRPr="004C75E0">
        <w:rPr>
          <w:rFonts w:ascii="Times New Roman" w:hAnsi="Times New Roman" w:cs="Times New Roman"/>
          <w:sz w:val="24"/>
          <w:szCs w:val="24"/>
        </w:rPr>
        <w:t xml:space="preserve">’s population have been important factors influencing education provision </w:t>
      </w:r>
      <w:r w:rsidR="0076318E" w:rsidRPr="004C75E0">
        <w:rPr>
          <w:rFonts w:ascii="Times New Roman" w:hAnsi="Times New Roman" w:cs="Times New Roman"/>
          <w:sz w:val="24"/>
          <w:szCs w:val="24"/>
        </w:rPr>
        <w:t>in Zambia. Given that the country has a very young population, Cincotta (2010) has noted that this often implies a rapidly growing school age population. This dynamic</w:t>
      </w:r>
      <w:r w:rsidR="00A835B8" w:rsidRPr="004C75E0">
        <w:rPr>
          <w:rFonts w:ascii="Times New Roman" w:hAnsi="Times New Roman" w:cs="Times New Roman"/>
          <w:sz w:val="24"/>
          <w:szCs w:val="24"/>
        </w:rPr>
        <w:t xml:space="preserve"> is in turn </w:t>
      </w:r>
      <w:r w:rsidR="0076318E" w:rsidRPr="004C75E0">
        <w:rPr>
          <w:rFonts w:ascii="Times New Roman" w:hAnsi="Times New Roman" w:cs="Times New Roman"/>
          <w:sz w:val="24"/>
          <w:szCs w:val="24"/>
        </w:rPr>
        <w:t xml:space="preserve">associated with high demand </w:t>
      </w:r>
      <w:r w:rsidR="004011A7" w:rsidRPr="004C75E0">
        <w:rPr>
          <w:rFonts w:ascii="Times New Roman" w:hAnsi="Times New Roman" w:cs="Times New Roman"/>
          <w:sz w:val="24"/>
          <w:szCs w:val="24"/>
        </w:rPr>
        <w:t xml:space="preserve">on </w:t>
      </w:r>
      <w:r w:rsidR="0076318E" w:rsidRPr="004C75E0">
        <w:rPr>
          <w:rFonts w:ascii="Times New Roman" w:hAnsi="Times New Roman" w:cs="Times New Roman"/>
          <w:sz w:val="24"/>
          <w:szCs w:val="24"/>
        </w:rPr>
        <w:t>education</w:t>
      </w:r>
      <w:r w:rsidR="00A835B8" w:rsidRPr="004C75E0">
        <w:rPr>
          <w:rFonts w:ascii="Times New Roman" w:hAnsi="Times New Roman" w:cs="Times New Roman"/>
          <w:sz w:val="24"/>
          <w:szCs w:val="24"/>
        </w:rPr>
        <w:t xml:space="preserve">al provision (Kelly, 1991:24). </w:t>
      </w:r>
    </w:p>
    <w:p w14:paraId="5D315923" w14:textId="77777777" w:rsidR="00A835B8" w:rsidRPr="004C75E0" w:rsidRDefault="00A835B8" w:rsidP="00A60BD4">
      <w:pPr>
        <w:autoSpaceDE w:val="0"/>
        <w:autoSpaceDN w:val="0"/>
        <w:adjustRightInd w:val="0"/>
        <w:spacing w:after="0" w:line="360" w:lineRule="auto"/>
        <w:rPr>
          <w:rFonts w:ascii="Times New Roman" w:hAnsi="Times New Roman" w:cs="Times New Roman"/>
          <w:color w:val="000000"/>
          <w:sz w:val="24"/>
          <w:szCs w:val="24"/>
        </w:rPr>
      </w:pPr>
    </w:p>
    <w:p w14:paraId="26367E88" w14:textId="2E17037C" w:rsidR="00180985" w:rsidRPr="004C75E0" w:rsidRDefault="00777C89"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 xml:space="preserve">According to Kelly (1991), </w:t>
      </w:r>
      <w:r w:rsidR="00A835B8" w:rsidRPr="004C75E0">
        <w:rPr>
          <w:rFonts w:ascii="Times New Roman" w:hAnsi="Times New Roman" w:cs="Times New Roman"/>
          <w:sz w:val="24"/>
          <w:szCs w:val="24"/>
        </w:rPr>
        <w:t>the rapid growth of the population has</w:t>
      </w:r>
      <w:r w:rsidRPr="004C75E0">
        <w:rPr>
          <w:rFonts w:ascii="Times New Roman" w:hAnsi="Times New Roman" w:cs="Times New Roman"/>
          <w:sz w:val="24"/>
          <w:szCs w:val="24"/>
        </w:rPr>
        <w:t xml:space="preserve"> had</w:t>
      </w:r>
      <w:r w:rsidR="00A835B8" w:rsidRPr="004C75E0">
        <w:rPr>
          <w:rFonts w:ascii="Times New Roman" w:hAnsi="Times New Roman" w:cs="Times New Roman"/>
          <w:sz w:val="24"/>
          <w:szCs w:val="24"/>
        </w:rPr>
        <w:t xml:space="preserve"> the most serious implications for educational </w:t>
      </w:r>
      <w:r w:rsidRPr="004C75E0">
        <w:rPr>
          <w:rFonts w:ascii="Times New Roman" w:hAnsi="Times New Roman" w:cs="Times New Roman"/>
          <w:sz w:val="24"/>
          <w:szCs w:val="24"/>
        </w:rPr>
        <w:t xml:space="preserve">provision in Zambia. In 1980, </w:t>
      </w:r>
      <w:r w:rsidR="00A835B8" w:rsidRPr="004C75E0">
        <w:rPr>
          <w:rFonts w:ascii="Times New Roman" w:hAnsi="Times New Roman" w:cs="Times New Roman"/>
          <w:sz w:val="24"/>
          <w:szCs w:val="24"/>
        </w:rPr>
        <w:t>there were 1.33</w:t>
      </w:r>
      <w:r w:rsidRPr="004C75E0">
        <w:rPr>
          <w:rFonts w:ascii="Times New Roman" w:hAnsi="Times New Roman" w:cs="Times New Roman"/>
          <w:sz w:val="24"/>
          <w:szCs w:val="24"/>
        </w:rPr>
        <w:t xml:space="preserve"> </w:t>
      </w:r>
      <w:r w:rsidR="00A835B8" w:rsidRPr="004C75E0">
        <w:rPr>
          <w:rFonts w:ascii="Times New Roman" w:hAnsi="Times New Roman" w:cs="Times New Roman"/>
          <w:sz w:val="24"/>
          <w:szCs w:val="24"/>
        </w:rPr>
        <w:t>million children of primary school age (7 to 14year-olds), and the primary school</w:t>
      </w:r>
      <w:r w:rsidRPr="004C75E0">
        <w:rPr>
          <w:rFonts w:ascii="Times New Roman" w:hAnsi="Times New Roman" w:cs="Times New Roman"/>
          <w:sz w:val="24"/>
          <w:szCs w:val="24"/>
        </w:rPr>
        <w:t xml:space="preserve"> enrolment</w:t>
      </w:r>
      <w:r w:rsidR="00A835B8" w:rsidRPr="004C75E0">
        <w:rPr>
          <w:rFonts w:ascii="Times New Roman" w:hAnsi="Times New Roman" w:cs="Times New Roman"/>
          <w:sz w:val="24"/>
          <w:szCs w:val="24"/>
        </w:rPr>
        <w:t xml:space="preserve"> was 1.04 million</w:t>
      </w:r>
      <w:r w:rsidRPr="004C75E0">
        <w:rPr>
          <w:rFonts w:ascii="Times New Roman" w:hAnsi="Times New Roman" w:cs="Times New Roman"/>
          <w:sz w:val="24"/>
          <w:szCs w:val="24"/>
        </w:rPr>
        <w:t xml:space="preserve"> (Kelly, 1991:24)</w:t>
      </w:r>
      <w:r w:rsidR="00A835B8" w:rsidRPr="004C75E0">
        <w:rPr>
          <w:rFonts w:ascii="Times New Roman" w:hAnsi="Times New Roman" w:cs="Times New Roman"/>
          <w:sz w:val="24"/>
          <w:szCs w:val="24"/>
        </w:rPr>
        <w:t>. By 1985,</w:t>
      </w:r>
      <w:r w:rsidRPr="004C75E0">
        <w:rPr>
          <w:rFonts w:ascii="Times New Roman" w:hAnsi="Times New Roman" w:cs="Times New Roman"/>
          <w:sz w:val="24"/>
          <w:szCs w:val="24"/>
        </w:rPr>
        <w:t xml:space="preserve"> </w:t>
      </w:r>
      <w:r w:rsidR="00A835B8" w:rsidRPr="004C75E0">
        <w:rPr>
          <w:rFonts w:ascii="Times New Roman" w:hAnsi="Times New Roman" w:cs="Times New Roman"/>
          <w:sz w:val="24"/>
          <w:szCs w:val="24"/>
        </w:rPr>
        <w:t>there were some 1.50 million primary school</w:t>
      </w:r>
      <w:r w:rsidRPr="004C75E0">
        <w:rPr>
          <w:rFonts w:ascii="Times New Roman" w:hAnsi="Times New Roman" w:cs="Times New Roman"/>
          <w:sz w:val="24"/>
          <w:szCs w:val="24"/>
        </w:rPr>
        <w:t xml:space="preserve"> </w:t>
      </w:r>
      <w:r w:rsidR="00A835B8" w:rsidRPr="004C75E0">
        <w:rPr>
          <w:rFonts w:ascii="Times New Roman" w:hAnsi="Times New Roman" w:cs="Times New Roman"/>
          <w:sz w:val="24"/>
          <w:szCs w:val="24"/>
        </w:rPr>
        <w:t>aged children and 1.35 million school</w:t>
      </w:r>
      <w:r w:rsidRPr="004C75E0">
        <w:rPr>
          <w:rFonts w:ascii="Times New Roman" w:hAnsi="Times New Roman" w:cs="Times New Roman"/>
          <w:sz w:val="24"/>
          <w:szCs w:val="24"/>
        </w:rPr>
        <w:t xml:space="preserve"> </w:t>
      </w:r>
      <w:r w:rsidR="00A835B8" w:rsidRPr="004C75E0">
        <w:rPr>
          <w:rFonts w:ascii="Times New Roman" w:hAnsi="Times New Roman" w:cs="Times New Roman"/>
          <w:sz w:val="24"/>
          <w:szCs w:val="24"/>
        </w:rPr>
        <w:t>places. By the year 2000, the number of</w:t>
      </w:r>
      <w:r w:rsidR="00582C1B" w:rsidRPr="004C75E0">
        <w:rPr>
          <w:rFonts w:ascii="Times New Roman" w:hAnsi="Times New Roman" w:cs="Times New Roman"/>
          <w:sz w:val="24"/>
          <w:szCs w:val="24"/>
        </w:rPr>
        <w:t xml:space="preserve"> school aged</w:t>
      </w:r>
      <w:r w:rsidRPr="004C75E0">
        <w:rPr>
          <w:rFonts w:ascii="Times New Roman" w:hAnsi="Times New Roman" w:cs="Times New Roman"/>
          <w:sz w:val="24"/>
          <w:szCs w:val="24"/>
        </w:rPr>
        <w:t xml:space="preserve"> </w:t>
      </w:r>
      <w:r w:rsidR="00A835B8" w:rsidRPr="004C75E0">
        <w:rPr>
          <w:rFonts w:ascii="Times New Roman" w:hAnsi="Times New Roman" w:cs="Times New Roman"/>
          <w:sz w:val="24"/>
          <w:szCs w:val="24"/>
        </w:rPr>
        <w:t>childr</w:t>
      </w:r>
      <w:r w:rsidRPr="004C75E0">
        <w:rPr>
          <w:rFonts w:ascii="Times New Roman" w:hAnsi="Times New Roman" w:cs="Times New Roman"/>
          <w:sz w:val="24"/>
          <w:szCs w:val="24"/>
        </w:rPr>
        <w:t xml:space="preserve">en was </w:t>
      </w:r>
      <w:r w:rsidR="00A835B8" w:rsidRPr="004C75E0">
        <w:rPr>
          <w:rFonts w:ascii="Times New Roman" w:hAnsi="Times New Roman" w:cs="Times New Roman"/>
          <w:sz w:val="24"/>
          <w:szCs w:val="24"/>
        </w:rPr>
        <w:t>at 2.64 million</w:t>
      </w:r>
      <w:r w:rsidR="0061626A">
        <w:rPr>
          <w:rFonts w:ascii="Times New Roman" w:hAnsi="Times New Roman" w:cs="Times New Roman"/>
          <w:sz w:val="24"/>
          <w:szCs w:val="24"/>
        </w:rPr>
        <w:t xml:space="preserve"> while school</w:t>
      </w:r>
      <w:r w:rsidR="007E0C30">
        <w:rPr>
          <w:rFonts w:ascii="Times New Roman" w:hAnsi="Times New Roman" w:cs="Times New Roman"/>
          <w:sz w:val="24"/>
          <w:szCs w:val="24"/>
        </w:rPr>
        <w:t xml:space="preserve"> places</w:t>
      </w:r>
      <w:r w:rsidR="0061626A">
        <w:rPr>
          <w:rFonts w:ascii="Times New Roman" w:hAnsi="Times New Roman" w:cs="Times New Roman"/>
          <w:sz w:val="24"/>
          <w:szCs w:val="24"/>
        </w:rPr>
        <w:t xml:space="preserve"> had not significantly grown beyond</w:t>
      </w:r>
      <w:r w:rsidR="00A835B8" w:rsidRPr="004C75E0">
        <w:rPr>
          <w:rFonts w:ascii="Times New Roman" w:hAnsi="Times New Roman" w:cs="Times New Roman"/>
          <w:sz w:val="24"/>
          <w:szCs w:val="24"/>
        </w:rPr>
        <w:t xml:space="preserve"> 1.3 million </w:t>
      </w:r>
      <w:r w:rsidR="00582C1B" w:rsidRPr="004C75E0">
        <w:rPr>
          <w:rFonts w:ascii="Times New Roman" w:hAnsi="Times New Roman" w:cs="Times New Roman"/>
          <w:sz w:val="24"/>
          <w:szCs w:val="24"/>
        </w:rPr>
        <w:t>for</w:t>
      </w:r>
      <w:r w:rsidR="00A835B8" w:rsidRPr="004C75E0">
        <w:rPr>
          <w:rFonts w:ascii="Times New Roman" w:hAnsi="Times New Roman" w:cs="Times New Roman"/>
          <w:sz w:val="24"/>
          <w:szCs w:val="24"/>
        </w:rPr>
        <w:t xml:space="preserve"> seven full years of primary</w:t>
      </w:r>
      <w:r w:rsidRPr="004C75E0">
        <w:rPr>
          <w:rFonts w:ascii="Times New Roman" w:hAnsi="Times New Roman" w:cs="Times New Roman"/>
          <w:sz w:val="24"/>
          <w:szCs w:val="24"/>
        </w:rPr>
        <w:t xml:space="preserve"> education</w:t>
      </w:r>
      <w:r w:rsidR="00A835B8" w:rsidRPr="004C75E0">
        <w:rPr>
          <w:rFonts w:ascii="Times New Roman" w:hAnsi="Times New Roman" w:cs="Times New Roman"/>
          <w:sz w:val="24"/>
          <w:szCs w:val="24"/>
        </w:rPr>
        <w:t>.</w:t>
      </w:r>
      <w:r w:rsidRPr="004C75E0">
        <w:rPr>
          <w:rFonts w:ascii="Times New Roman" w:hAnsi="Times New Roman" w:cs="Times New Roman"/>
          <w:sz w:val="24"/>
          <w:szCs w:val="24"/>
        </w:rPr>
        <w:t xml:space="preserve"> At the end of 2014, there were some </w:t>
      </w:r>
      <w:r w:rsidR="00A074B3" w:rsidRPr="004C75E0">
        <w:rPr>
          <w:rFonts w:ascii="Times New Roman" w:hAnsi="Times New Roman" w:cs="Times New Roman"/>
          <w:sz w:val="24"/>
          <w:szCs w:val="24"/>
        </w:rPr>
        <w:t>3.6 million p</w:t>
      </w:r>
      <w:r w:rsidR="003B653C">
        <w:rPr>
          <w:rFonts w:ascii="Times New Roman" w:hAnsi="Times New Roman" w:cs="Times New Roman"/>
          <w:sz w:val="24"/>
          <w:szCs w:val="24"/>
        </w:rPr>
        <w:t xml:space="preserve">rimary school aged children and less than </w:t>
      </w:r>
      <w:r w:rsidR="003B653C" w:rsidRPr="008331E0">
        <w:rPr>
          <w:rFonts w:ascii="Times New Roman" w:hAnsi="Times New Roman" w:cs="Times New Roman"/>
          <w:sz w:val="24"/>
          <w:szCs w:val="24"/>
        </w:rPr>
        <w:t>3</w:t>
      </w:r>
      <w:r w:rsidR="004D402A" w:rsidRPr="008331E0">
        <w:rPr>
          <w:rFonts w:ascii="Times New Roman" w:hAnsi="Times New Roman" w:cs="Times New Roman"/>
          <w:sz w:val="24"/>
          <w:szCs w:val="24"/>
        </w:rPr>
        <w:t xml:space="preserve"> </w:t>
      </w:r>
      <w:r w:rsidR="00A074B3" w:rsidRPr="008331E0">
        <w:rPr>
          <w:rFonts w:ascii="Times New Roman" w:hAnsi="Times New Roman" w:cs="Times New Roman"/>
          <w:sz w:val="24"/>
          <w:szCs w:val="24"/>
        </w:rPr>
        <w:t>million</w:t>
      </w:r>
      <w:r w:rsidR="00A074B3" w:rsidRPr="004C75E0">
        <w:rPr>
          <w:rFonts w:ascii="Times New Roman" w:hAnsi="Times New Roman" w:cs="Times New Roman"/>
          <w:sz w:val="24"/>
          <w:szCs w:val="24"/>
        </w:rPr>
        <w:t xml:space="preserve"> school places.</w:t>
      </w:r>
      <w:r w:rsidR="00582C1B" w:rsidRPr="004C75E0">
        <w:rPr>
          <w:rFonts w:ascii="Times New Roman" w:hAnsi="Times New Roman" w:cs="Times New Roman"/>
          <w:sz w:val="24"/>
          <w:szCs w:val="24"/>
        </w:rPr>
        <w:t xml:space="preserve"> </w:t>
      </w:r>
      <w:r w:rsidR="0076318E" w:rsidRPr="004C75E0">
        <w:rPr>
          <w:rFonts w:ascii="Times New Roman" w:hAnsi="Times New Roman" w:cs="Times New Roman"/>
          <w:sz w:val="24"/>
          <w:szCs w:val="24"/>
        </w:rPr>
        <w:t>In th</w:t>
      </w:r>
      <w:r w:rsidR="004D402A">
        <w:rPr>
          <w:rFonts w:ascii="Times New Roman" w:hAnsi="Times New Roman" w:cs="Times New Roman"/>
          <w:sz w:val="24"/>
          <w:szCs w:val="24"/>
        </w:rPr>
        <w:t>is respect, policy-makers need to consider</w:t>
      </w:r>
      <w:r w:rsidR="0076318E" w:rsidRPr="004C75E0">
        <w:rPr>
          <w:rFonts w:ascii="Times New Roman" w:hAnsi="Times New Roman" w:cs="Times New Roman"/>
          <w:sz w:val="24"/>
          <w:szCs w:val="24"/>
        </w:rPr>
        <w:t xml:space="preserve"> mainstream</w:t>
      </w:r>
      <w:r w:rsidR="004D402A">
        <w:rPr>
          <w:rFonts w:ascii="Times New Roman" w:hAnsi="Times New Roman" w:cs="Times New Roman"/>
          <w:sz w:val="24"/>
          <w:szCs w:val="24"/>
        </w:rPr>
        <w:t>ing</w:t>
      </w:r>
      <w:r w:rsidR="0076318E" w:rsidRPr="004C75E0">
        <w:rPr>
          <w:rFonts w:ascii="Times New Roman" w:hAnsi="Times New Roman" w:cs="Times New Roman"/>
          <w:sz w:val="24"/>
          <w:szCs w:val="24"/>
        </w:rPr>
        <w:t xml:space="preserve"> population</w:t>
      </w:r>
      <w:r w:rsidR="004D402A">
        <w:rPr>
          <w:rFonts w:ascii="Times New Roman" w:hAnsi="Times New Roman" w:cs="Times New Roman"/>
          <w:sz w:val="24"/>
          <w:szCs w:val="24"/>
        </w:rPr>
        <w:t xml:space="preserve"> as a cross-cutting theme in all education</w:t>
      </w:r>
      <w:r w:rsidR="0076318E" w:rsidRPr="004C75E0">
        <w:rPr>
          <w:rFonts w:ascii="Times New Roman" w:hAnsi="Times New Roman" w:cs="Times New Roman"/>
          <w:sz w:val="24"/>
          <w:szCs w:val="24"/>
        </w:rPr>
        <w:t xml:space="preserve"> sector policies and operations to achi</w:t>
      </w:r>
      <w:r w:rsidR="00D4679D" w:rsidRPr="004C75E0">
        <w:rPr>
          <w:rFonts w:ascii="Times New Roman" w:hAnsi="Times New Roman" w:cs="Times New Roman"/>
          <w:sz w:val="24"/>
          <w:szCs w:val="24"/>
        </w:rPr>
        <w:t>eve sustainable</w:t>
      </w:r>
      <w:r w:rsidR="00582C1B" w:rsidRPr="004C75E0">
        <w:rPr>
          <w:rFonts w:ascii="Times New Roman" w:hAnsi="Times New Roman" w:cs="Times New Roman"/>
          <w:sz w:val="24"/>
          <w:szCs w:val="24"/>
        </w:rPr>
        <w:t xml:space="preserve"> quality education development</w:t>
      </w:r>
      <w:r w:rsidR="005C340E" w:rsidRPr="004C75E0">
        <w:rPr>
          <w:rFonts w:ascii="Times New Roman" w:hAnsi="Times New Roman" w:cs="Times New Roman"/>
          <w:sz w:val="24"/>
          <w:szCs w:val="24"/>
        </w:rPr>
        <w:t>.</w:t>
      </w:r>
    </w:p>
    <w:p w14:paraId="13A0DBA2" w14:textId="77777777" w:rsidR="000C739F" w:rsidRPr="004C75E0" w:rsidRDefault="000C739F" w:rsidP="00A60BD4">
      <w:pPr>
        <w:autoSpaceDE w:val="0"/>
        <w:autoSpaceDN w:val="0"/>
        <w:adjustRightInd w:val="0"/>
        <w:spacing w:after="0" w:line="360" w:lineRule="auto"/>
        <w:jc w:val="both"/>
        <w:rPr>
          <w:rFonts w:ascii="Times New Roman" w:hAnsi="Times New Roman" w:cs="Times New Roman"/>
          <w:sz w:val="24"/>
          <w:szCs w:val="24"/>
        </w:rPr>
      </w:pPr>
    </w:p>
    <w:p w14:paraId="1D16A07C" w14:textId="0D52E935" w:rsidR="00010EDA" w:rsidRPr="004C75E0" w:rsidRDefault="000360EB" w:rsidP="00A60BD4">
      <w:pPr>
        <w:pStyle w:val="Heading2"/>
        <w:spacing w:line="360" w:lineRule="auto"/>
        <w:rPr>
          <w:rFonts w:ascii="Times New Roman" w:hAnsi="Times New Roman" w:cs="Times New Roman"/>
        </w:rPr>
      </w:pPr>
      <w:bookmarkStart w:id="18" w:name="_Toc458687346"/>
      <w:r w:rsidRPr="004C75E0">
        <w:rPr>
          <w:rFonts w:ascii="Times New Roman" w:hAnsi="Times New Roman" w:cs="Times New Roman"/>
        </w:rPr>
        <w:t>2.2</w:t>
      </w:r>
      <w:r w:rsidRPr="004C75E0">
        <w:rPr>
          <w:rFonts w:ascii="Times New Roman" w:hAnsi="Times New Roman" w:cs="Times New Roman"/>
        </w:rPr>
        <w:tab/>
      </w:r>
      <w:r w:rsidR="00605B67" w:rsidRPr="004C75E0">
        <w:rPr>
          <w:rFonts w:ascii="Times New Roman" w:hAnsi="Times New Roman" w:cs="Times New Roman"/>
        </w:rPr>
        <w:t xml:space="preserve">Economic </w:t>
      </w:r>
      <w:r w:rsidR="00693A1C">
        <w:rPr>
          <w:rFonts w:ascii="Times New Roman" w:hAnsi="Times New Roman" w:cs="Times New Roman"/>
        </w:rPr>
        <w:t>F</w:t>
      </w:r>
      <w:r w:rsidR="00671C54" w:rsidRPr="004C75E0">
        <w:rPr>
          <w:rFonts w:ascii="Times New Roman" w:hAnsi="Times New Roman" w:cs="Times New Roman"/>
        </w:rPr>
        <w:t>actors</w:t>
      </w:r>
      <w:bookmarkEnd w:id="18"/>
      <w:r w:rsidR="0059072E" w:rsidRPr="004C75E0">
        <w:rPr>
          <w:rFonts w:ascii="Times New Roman" w:hAnsi="Times New Roman" w:cs="Times New Roman"/>
        </w:rPr>
        <w:t xml:space="preserve"> </w:t>
      </w:r>
    </w:p>
    <w:p w14:paraId="0817653B" w14:textId="77777777" w:rsidR="000C739F" w:rsidRPr="004C75E0" w:rsidRDefault="00E24493"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 xml:space="preserve">Economic factors play a critical role in education provision in Zambia. </w:t>
      </w:r>
      <w:r w:rsidR="00605B67" w:rsidRPr="004C75E0">
        <w:rPr>
          <w:rFonts w:ascii="Times New Roman" w:hAnsi="Times New Roman" w:cs="Times New Roman"/>
          <w:sz w:val="24"/>
          <w:szCs w:val="24"/>
        </w:rPr>
        <w:t>Since independence</w:t>
      </w:r>
      <w:r w:rsidR="0059072E" w:rsidRPr="004C75E0">
        <w:rPr>
          <w:rFonts w:ascii="Times New Roman" w:hAnsi="Times New Roman" w:cs="Times New Roman"/>
          <w:sz w:val="24"/>
          <w:szCs w:val="24"/>
        </w:rPr>
        <w:t xml:space="preserve"> in 1964</w:t>
      </w:r>
      <w:r w:rsidR="00605B67" w:rsidRPr="004C75E0">
        <w:rPr>
          <w:rFonts w:ascii="Times New Roman" w:hAnsi="Times New Roman" w:cs="Times New Roman"/>
          <w:sz w:val="24"/>
          <w:szCs w:val="24"/>
        </w:rPr>
        <w:t>, the Zambian economy has relied strongly upon a single natural resource namely, copper</w:t>
      </w:r>
      <w:r w:rsidRPr="004C75E0">
        <w:rPr>
          <w:rFonts w:ascii="Times New Roman" w:hAnsi="Times New Roman" w:cs="Times New Roman"/>
          <w:sz w:val="24"/>
          <w:szCs w:val="24"/>
        </w:rPr>
        <w:t xml:space="preserve">. </w:t>
      </w:r>
      <w:r w:rsidR="00605B67" w:rsidRPr="004C75E0">
        <w:rPr>
          <w:rFonts w:ascii="Times New Roman" w:hAnsi="Times New Roman" w:cs="Times New Roman"/>
          <w:sz w:val="24"/>
          <w:szCs w:val="24"/>
        </w:rPr>
        <w:t>When high world market copper prices started to decline in 1973, the Zambian economy did the same</w:t>
      </w:r>
      <w:r w:rsidR="004A5A55" w:rsidRPr="004C75E0">
        <w:rPr>
          <w:rFonts w:ascii="Times New Roman" w:hAnsi="Times New Roman" w:cs="Times New Roman"/>
          <w:sz w:val="24"/>
          <w:szCs w:val="24"/>
        </w:rPr>
        <w:t xml:space="preserve"> and so did budget allocation to critical social sectors such as education</w:t>
      </w:r>
      <w:r w:rsidR="00605B67" w:rsidRPr="004C75E0">
        <w:rPr>
          <w:rFonts w:ascii="Times New Roman" w:hAnsi="Times New Roman" w:cs="Times New Roman"/>
          <w:sz w:val="24"/>
          <w:szCs w:val="24"/>
        </w:rPr>
        <w:t>.</w:t>
      </w:r>
    </w:p>
    <w:p w14:paraId="0493340C" w14:textId="77777777" w:rsidR="00C3620E" w:rsidRPr="004C75E0" w:rsidRDefault="00C3620E" w:rsidP="00A60BD4">
      <w:pPr>
        <w:autoSpaceDE w:val="0"/>
        <w:autoSpaceDN w:val="0"/>
        <w:adjustRightInd w:val="0"/>
        <w:spacing w:after="0" w:line="360" w:lineRule="auto"/>
        <w:jc w:val="both"/>
        <w:rPr>
          <w:rFonts w:ascii="Times New Roman" w:hAnsi="Times New Roman" w:cs="Times New Roman"/>
          <w:sz w:val="24"/>
          <w:szCs w:val="24"/>
        </w:rPr>
      </w:pPr>
    </w:p>
    <w:p w14:paraId="1E4058E6" w14:textId="77777777" w:rsidR="00C3620E" w:rsidRPr="004C75E0" w:rsidRDefault="00D25857" w:rsidP="00A60BD4">
      <w:pPr>
        <w:autoSpaceDE w:val="0"/>
        <w:autoSpaceDN w:val="0"/>
        <w:adjustRightInd w:val="0"/>
        <w:spacing w:after="0" w:line="360" w:lineRule="auto"/>
        <w:jc w:val="both"/>
        <w:rPr>
          <w:rFonts w:ascii="Times New Roman" w:hAnsi="Times New Roman" w:cs="Times New Roman"/>
          <w:sz w:val="25"/>
          <w:szCs w:val="25"/>
        </w:rPr>
      </w:pPr>
      <w:r w:rsidRPr="004C75E0">
        <w:rPr>
          <w:rFonts w:ascii="Times New Roman" w:hAnsi="Times New Roman" w:cs="Times New Roman"/>
          <w:sz w:val="24"/>
          <w:szCs w:val="24"/>
        </w:rPr>
        <w:t>Kelly</w:t>
      </w:r>
      <w:r w:rsidR="00D918F7" w:rsidRPr="004C75E0">
        <w:rPr>
          <w:rFonts w:ascii="Times New Roman" w:hAnsi="Times New Roman" w:cs="Times New Roman"/>
          <w:sz w:val="24"/>
          <w:szCs w:val="24"/>
        </w:rPr>
        <w:t xml:space="preserve"> </w:t>
      </w:r>
      <w:r w:rsidRPr="004C75E0">
        <w:rPr>
          <w:rFonts w:ascii="Times New Roman" w:hAnsi="Times New Roman" w:cs="Times New Roman"/>
          <w:sz w:val="24"/>
          <w:szCs w:val="24"/>
        </w:rPr>
        <w:t>(1991:24)</w:t>
      </w:r>
      <w:r w:rsidR="000C739F" w:rsidRPr="004C75E0">
        <w:rPr>
          <w:rFonts w:ascii="Times New Roman" w:hAnsi="Times New Roman" w:cs="Times New Roman"/>
          <w:sz w:val="24"/>
          <w:szCs w:val="24"/>
        </w:rPr>
        <w:t xml:space="preserve"> notes</w:t>
      </w:r>
      <w:r w:rsidR="00D918F7" w:rsidRPr="004C75E0">
        <w:rPr>
          <w:rFonts w:ascii="Times New Roman" w:hAnsi="Times New Roman" w:cs="Times New Roman"/>
          <w:sz w:val="24"/>
          <w:szCs w:val="24"/>
        </w:rPr>
        <w:t xml:space="preserve"> that</w:t>
      </w:r>
      <w:r w:rsidRPr="004C75E0">
        <w:rPr>
          <w:rFonts w:ascii="Times New Roman" w:hAnsi="Times New Roman" w:cs="Times New Roman"/>
          <w:sz w:val="24"/>
          <w:szCs w:val="24"/>
        </w:rPr>
        <w:t>,</w:t>
      </w:r>
      <w:r w:rsidR="00D918F7" w:rsidRPr="004C75E0">
        <w:rPr>
          <w:rFonts w:ascii="Times New Roman" w:hAnsi="Times New Roman" w:cs="Times New Roman"/>
          <w:sz w:val="24"/>
          <w:szCs w:val="24"/>
        </w:rPr>
        <w:t xml:space="preserve">  “</w:t>
      </w:r>
      <w:r w:rsidR="000C739F" w:rsidRPr="004C75E0">
        <w:rPr>
          <w:rFonts w:ascii="Times New Roman" w:hAnsi="Times New Roman" w:cs="Times New Roman"/>
          <w:sz w:val="24"/>
          <w:szCs w:val="24"/>
        </w:rPr>
        <w:t xml:space="preserve">following the economic decline of the mid-1970s, </w:t>
      </w:r>
      <w:r w:rsidRPr="004C75E0">
        <w:rPr>
          <w:rFonts w:ascii="Times New Roman" w:hAnsi="Times New Roman" w:cs="Times New Roman"/>
          <w:sz w:val="24"/>
          <w:szCs w:val="24"/>
        </w:rPr>
        <w:t>the level of capital investment in education declined sharply, with real spending in 1985 being only about one-tenth of that in 1975</w:t>
      </w:r>
      <w:r w:rsidR="00D918F7" w:rsidRPr="004C75E0">
        <w:rPr>
          <w:rFonts w:ascii="Times New Roman" w:hAnsi="Times New Roman" w:cs="Times New Roman"/>
          <w:sz w:val="24"/>
          <w:szCs w:val="24"/>
        </w:rPr>
        <w:t>”</w:t>
      </w:r>
      <w:r w:rsidR="000C739F" w:rsidRPr="004C75E0">
        <w:rPr>
          <w:rFonts w:ascii="Times New Roman" w:hAnsi="Times New Roman" w:cs="Times New Roman"/>
          <w:sz w:val="24"/>
          <w:szCs w:val="24"/>
        </w:rPr>
        <w:t>. E</w:t>
      </w:r>
      <w:r w:rsidRPr="004C75E0">
        <w:rPr>
          <w:rFonts w:ascii="Times New Roman" w:hAnsi="Times New Roman" w:cs="Times New Roman"/>
          <w:sz w:val="24"/>
          <w:szCs w:val="24"/>
        </w:rPr>
        <w:t>ducation capital expenditures (at constant 1975 prices) declined from K22.60 billion in 1975 to K2.26</w:t>
      </w:r>
      <w:r w:rsidR="00D918F7" w:rsidRPr="004C75E0">
        <w:rPr>
          <w:rFonts w:ascii="Times New Roman" w:hAnsi="Times New Roman" w:cs="Times New Roman"/>
          <w:sz w:val="24"/>
          <w:szCs w:val="24"/>
        </w:rPr>
        <w:t xml:space="preserve"> billion</w:t>
      </w:r>
      <w:r w:rsidRPr="004C75E0">
        <w:rPr>
          <w:rFonts w:ascii="Times New Roman" w:hAnsi="Times New Roman" w:cs="Times New Roman"/>
          <w:sz w:val="24"/>
          <w:szCs w:val="24"/>
        </w:rPr>
        <w:t xml:space="preserve"> in 1985</w:t>
      </w:r>
      <w:r w:rsidR="00D918F7" w:rsidRPr="004C75E0">
        <w:rPr>
          <w:rFonts w:ascii="Times New Roman" w:hAnsi="Times New Roman" w:cs="Times New Roman"/>
          <w:sz w:val="24"/>
          <w:szCs w:val="24"/>
        </w:rPr>
        <w:t xml:space="preserve"> (Kelly, 1991:24)</w:t>
      </w:r>
      <w:r w:rsidRPr="004C75E0">
        <w:rPr>
          <w:rFonts w:ascii="Times New Roman" w:hAnsi="Times New Roman" w:cs="Times New Roman"/>
          <w:sz w:val="24"/>
          <w:szCs w:val="24"/>
        </w:rPr>
        <w:t>. This occurred at a time when total public investment was falling stead</w:t>
      </w:r>
      <w:r w:rsidR="00D918F7" w:rsidRPr="004C75E0">
        <w:rPr>
          <w:rFonts w:ascii="Times New Roman" w:hAnsi="Times New Roman" w:cs="Times New Roman"/>
          <w:sz w:val="24"/>
          <w:szCs w:val="24"/>
        </w:rPr>
        <w:t>ily in relation to the G</w:t>
      </w:r>
      <w:r w:rsidR="000C739F" w:rsidRPr="004C75E0">
        <w:rPr>
          <w:rFonts w:ascii="Times New Roman" w:hAnsi="Times New Roman" w:cs="Times New Roman"/>
          <w:sz w:val="24"/>
          <w:szCs w:val="24"/>
        </w:rPr>
        <w:t xml:space="preserve">ross </w:t>
      </w:r>
      <w:r w:rsidR="00D918F7" w:rsidRPr="004C75E0">
        <w:rPr>
          <w:rFonts w:ascii="Times New Roman" w:hAnsi="Times New Roman" w:cs="Times New Roman"/>
          <w:sz w:val="24"/>
          <w:szCs w:val="24"/>
        </w:rPr>
        <w:t>D</w:t>
      </w:r>
      <w:r w:rsidR="000C739F" w:rsidRPr="004C75E0">
        <w:rPr>
          <w:rFonts w:ascii="Times New Roman" w:hAnsi="Times New Roman" w:cs="Times New Roman"/>
          <w:sz w:val="24"/>
          <w:szCs w:val="24"/>
        </w:rPr>
        <w:t xml:space="preserve">omestic </w:t>
      </w:r>
      <w:r w:rsidR="00D918F7" w:rsidRPr="004C75E0">
        <w:rPr>
          <w:rFonts w:ascii="Times New Roman" w:hAnsi="Times New Roman" w:cs="Times New Roman"/>
          <w:sz w:val="24"/>
          <w:szCs w:val="24"/>
        </w:rPr>
        <w:t>P</w:t>
      </w:r>
      <w:r w:rsidR="000C739F" w:rsidRPr="004C75E0">
        <w:rPr>
          <w:rFonts w:ascii="Times New Roman" w:hAnsi="Times New Roman" w:cs="Times New Roman"/>
          <w:sz w:val="24"/>
          <w:szCs w:val="24"/>
        </w:rPr>
        <w:t>roduct (GDP)</w:t>
      </w:r>
      <w:r w:rsidR="00D918F7" w:rsidRPr="004C75E0">
        <w:rPr>
          <w:rFonts w:ascii="Times New Roman" w:hAnsi="Times New Roman" w:cs="Times New Roman"/>
          <w:sz w:val="24"/>
          <w:szCs w:val="24"/>
        </w:rPr>
        <w:t xml:space="preserve">. </w:t>
      </w:r>
      <w:r w:rsidR="000C739F" w:rsidRPr="004C75E0">
        <w:rPr>
          <w:rFonts w:ascii="Times New Roman" w:hAnsi="Times New Roman" w:cs="Times New Roman"/>
          <w:sz w:val="24"/>
          <w:szCs w:val="24"/>
        </w:rPr>
        <w:t>C</w:t>
      </w:r>
      <w:r w:rsidRPr="004C75E0">
        <w:rPr>
          <w:rFonts w:ascii="Times New Roman" w:hAnsi="Times New Roman" w:cs="Times New Roman"/>
          <w:sz w:val="24"/>
          <w:szCs w:val="24"/>
        </w:rPr>
        <w:t xml:space="preserve">apital investment in education as a proportion of GDP declined </w:t>
      </w:r>
      <w:r w:rsidR="00AF5265" w:rsidRPr="004C75E0">
        <w:rPr>
          <w:rFonts w:ascii="Times New Roman" w:hAnsi="Times New Roman" w:cs="Times New Roman"/>
          <w:sz w:val="24"/>
          <w:szCs w:val="24"/>
        </w:rPr>
        <w:t>substantially from</w:t>
      </w:r>
      <w:r w:rsidRPr="004C75E0">
        <w:rPr>
          <w:rFonts w:ascii="Times New Roman" w:hAnsi="Times New Roman" w:cs="Times New Roman"/>
          <w:sz w:val="24"/>
          <w:szCs w:val="24"/>
        </w:rPr>
        <w:t xml:space="preserve"> a proportion of</w:t>
      </w:r>
      <w:r w:rsidR="00D918F7" w:rsidRPr="004C75E0">
        <w:rPr>
          <w:rFonts w:ascii="Times New Roman" w:hAnsi="Times New Roman" w:cs="Times New Roman"/>
          <w:sz w:val="24"/>
          <w:szCs w:val="24"/>
        </w:rPr>
        <w:t xml:space="preserve"> 0.76 percent in</w:t>
      </w:r>
      <w:r w:rsidRPr="004C75E0">
        <w:rPr>
          <w:rFonts w:ascii="Times New Roman" w:hAnsi="Times New Roman" w:cs="Times New Roman"/>
          <w:sz w:val="24"/>
          <w:szCs w:val="24"/>
        </w:rPr>
        <w:t xml:space="preserve"> the period 1975-79 to 0.35 percent in the period 1981-85</w:t>
      </w:r>
      <w:r w:rsidR="00AF5265" w:rsidRPr="004C75E0">
        <w:rPr>
          <w:rFonts w:ascii="Times New Roman" w:hAnsi="Times New Roman" w:cs="Times New Roman"/>
          <w:sz w:val="24"/>
          <w:szCs w:val="24"/>
        </w:rPr>
        <w:t xml:space="preserve"> (</w:t>
      </w:r>
      <w:r w:rsidR="00D918F7" w:rsidRPr="004C75E0">
        <w:rPr>
          <w:rFonts w:ascii="Times New Roman" w:hAnsi="Times New Roman" w:cs="Times New Roman"/>
          <w:sz w:val="24"/>
          <w:szCs w:val="24"/>
        </w:rPr>
        <w:t>Kelly, 1991: 25).</w:t>
      </w:r>
      <w:r w:rsidR="00AF5265" w:rsidRPr="004C75E0">
        <w:rPr>
          <w:rFonts w:ascii="Times New Roman" w:hAnsi="Times New Roman" w:cs="Times New Roman"/>
          <w:sz w:val="25"/>
          <w:szCs w:val="25"/>
        </w:rPr>
        <w:t xml:space="preserve"> </w:t>
      </w:r>
    </w:p>
    <w:p w14:paraId="259F2D4C" w14:textId="77777777" w:rsidR="004D402A" w:rsidRDefault="004D402A" w:rsidP="00A60BD4">
      <w:pPr>
        <w:autoSpaceDE w:val="0"/>
        <w:autoSpaceDN w:val="0"/>
        <w:adjustRightInd w:val="0"/>
        <w:spacing w:after="0" w:line="360" w:lineRule="auto"/>
        <w:jc w:val="both"/>
        <w:rPr>
          <w:rFonts w:ascii="Times New Roman" w:hAnsi="Times New Roman" w:cs="Times New Roman"/>
          <w:sz w:val="25"/>
          <w:szCs w:val="25"/>
        </w:rPr>
      </w:pPr>
    </w:p>
    <w:p w14:paraId="669989DC" w14:textId="77777777" w:rsidR="00CC2144" w:rsidRPr="004C75E0" w:rsidRDefault="00AF5265"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In other words, o</w:t>
      </w:r>
      <w:r w:rsidR="00D25857" w:rsidRPr="004C75E0">
        <w:rPr>
          <w:rFonts w:ascii="Times New Roman" w:hAnsi="Times New Roman" w:cs="Times New Roman"/>
          <w:sz w:val="24"/>
          <w:szCs w:val="24"/>
        </w:rPr>
        <w:t xml:space="preserve">nce the </w:t>
      </w:r>
      <w:r w:rsidRPr="004C75E0">
        <w:rPr>
          <w:rFonts w:ascii="Times New Roman" w:hAnsi="Times New Roman" w:cs="Times New Roman"/>
          <w:sz w:val="24"/>
          <w:szCs w:val="24"/>
        </w:rPr>
        <w:t xml:space="preserve">economic </w:t>
      </w:r>
      <w:r w:rsidR="00D25857" w:rsidRPr="004C75E0">
        <w:rPr>
          <w:rFonts w:ascii="Times New Roman" w:hAnsi="Times New Roman" w:cs="Times New Roman"/>
          <w:sz w:val="24"/>
          <w:szCs w:val="24"/>
        </w:rPr>
        <w:t xml:space="preserve">recession took hold, the funds to meet planned </w:t>
      </w:r>
      <w:r w:rsidRPr="004C75E0">
        <w:rPr>
          <w:rFonts w:ascii="Times New Roman" w:hAnsi="Times New Roman" w:cs="Times New Roman"/>
          <w:sz w:val="24"/>
          <w:szCs w:val="24"/>
        </w:rPr>
        <w:t xml:space="preserve">education </w:t>
      </w:r>
      <w:r w:rsidR="00D25857" w:rsidRPr="004C75E0">
        <w:rPr>
          <w:rFonts w:ascii="Times New Roman" w:hAnsi="Times New Roman" w:cs="Times New Roman"/>
          <w:sz w:val="24"/>
          <w:szCs w:val="24"/>
        </w:rPr>
        <w:t>investment</w:t>
      </w:r>
      <w:r w:rsidRPr="004C75E0">
        <w:rPr>
          <w:rFonts w:ascii="Times New Roman" w:hAnsi="Times New Roman" w:cs="Times New Roman"/>
          <w:sz w:val="24"/>
          <w:szCs w:val="24"/>
        </w:rPr>
        <w:t xml:space="preserve"> </w:t>
      </w:r>
      <w:r w:rsidR="00D25857" w:rsidRPr="004C75E0">
        <w:rPr>
          <w:rFonts w:ascii="Times New Roman" w:hAnsi="Times New Roman" w:cs="Times New Roman"/>
          <w:sz w:val="24"/>
          <w:szCs w:val="24"/>
        </w:rPr>
        <w:t xml:space="preserve">targets were not available. </w:t>
      </w:r>
      <w:r w:rsidR="000C739F" w:rsidRPr="004C75E0">
        <w:rPr>
          <w:rFonts w:ascii="Times New Roman" w:hAnsi="Times New Roman" w:cs="Times New Roman"/>
          <w:sz w:val="24"/>
          <w:szCs w:val="24"/>
        </w:rPr>
        <w:t>For instance, d</w:t>
      </w:r>
      <w:r w:rsidR="00D25857" w:rsidRPr="004C75E0">
        <w:rPr>
          <w:rFonts w:ascii="Times New Roman" w:hAnsi="Times New Roman" w:cs="Times New Roman"/>
          <w:sz w:val="24"/>
          <w:szCs w:val="24"/>
        </w:rPr>
        <w:t>uring the period of the Third National Development</w:t>
      </w:r>
      <w:r w:rsidRPr="004C75E0">
        <w:rPr>
          <w:rFonts w:ascii="Times New Roman" w:hAnsi="Times New Roman" w:cs="Times New Roman"/>
          <w:sz w:val="24"/>
          <w:szCs w:val="24"/>
        </w:rPr>
        <w:t xml:space="preserve"> </w:t>
      </w:r>
      <w:r w:rsidR="00D25857" w:rsidRPr="004C75E0">
        <w:rPr>
          <w:rFonts w:ascii="Times New Roman" w:hAnsi="Times New Roman" w:cs="Times New Roman"/>
          <w:sz w:val="24"/>
          <w:szCs w:val="24"/>
        </w:rPr>
        <w:t>Plan (1979-83)</w:t>
      </w:r>
      <w:r w:rsidR="000C739F" w:rsidRPr="004C75E0">
        <w:rPr>
          <w:rFonts w:ascii="Times New Roman" w:hAnsi="Times New Roman" w:cs="Times New Roman"/>
          <w:sz w:val="24"/>
          <w:szCs w:val="24"/>
        </w:rPr>
        <w:t xml:space="preserve">, </w:t>
      </w:r>
      <w:r w:rsidR="00D25857" w:rsidRPr="004C75E0">
        <w:rPr>
          <w:rFonts w:ascii="Times New Roman" w:hAnsi="Times New Roman" w:cs="Times New Roman"/>
          <w:sz w:val="24"/>
          <w:szCs w:val="24"/>
        </w:rPr>
        <w:t>actual expenditure was only some 40 percent of the planned total</w:t>
      </w:r>
      <w:r w:rsidR="000C739F" w:rsidRPr="004C75E0">
        <w:rPr>
          <w:rFonts w:ascii="Times New Roman" w:hAnsi="Times New Roman" w:cs="Times New Roman"/>
          <w:sz w:val="24"/>
          <w:szCs w:val="24"/>
        </w:rPr>
        <w:t xml:space="preserve"> (Ibid)</w:t>
      </w:r>
      <w:r w:rsidR="00D25857" w:rsidRPr="004C75E0">
        <w:rPr>
          <w:rFonts w:ascii="Times New Roman" w:hAnsi="Times New Roman" w:cs="Times New Roman"/>
          <w:sz w:val="24"/>
          <w:szCs w:val="24"/>
        </w:rPr>
        <w:t>.</w:t>
      </w:r>
      <w:r w:rsidRPr="004C75E0">
        <w:rPr>
          <w:rFonts w:ascii="Times New Roman" w:hAnsi="Times New Roman" w:cs="Times New Roman"/>
          <w:sz w:val="24"/>
          <w:szCs w:val="24"/>
        </w:rPr>
        <w:t xml:space="preserve"> </w:t>
      </w:r>
      <w:r w:rsidR="00D25857" w:rsidRPr="004C75E0">
        <w:rPr>
          <w:rFonts w:ascii="Times New Roman" w:hAnsi="Times New Roman" w:cs="Times New Roman"/>
          <w:sz w:val="24"/>
          <w:szCs w:val="24"/>
        </w:rPr>
        <w:t xml:space="preserve">This sharp drop in educational investment occurred at a time when </w:t>
      </w:r>
      <w:r w:rsidRPr="004C75E0">
        <w:rPr>
          <w:rFonts w:ascii="Times New Roman" w:hAnsi="Times New Roman" w:cs="Times New Roman"/>
          <w:sz w:val="24"/>
          <w:szCs w:val="24"/>
        </w:rPr>
        <w:t xml:space="preserve">enrolments </w:t>
      </w:r>
      <w:r w:rsidR="00D25857" w:rsidRPr="004C75E0">
        <w:rPr>
          <w:rFonts w:ascii="Times New Roman" w:hAnsi="Times New Roman" w:cs="Times New Roman"/>
          <w:sz w:val="24"/>
          <w:szCs w:val="24"/>
        </w:rPr>
        <w:t>were incre</w:t>
      </w:r>
      <w:r w:rsidRPr="004C75E0">
        <w:rPr>
          <w:rFonts w:ascii="Times New Roman" w:hAnsi="Times New Roman" w:cs="Times New Roman"/>
          <w:sz w:val="24"/>
          <w:szCs w:val="24"/>
        </w:rPr>
        <w:t>asing rapidly. During the period</w:t>
      </w:r>
      <w:r w:rsidR="00D25857" w:rsidRPr="004C75E0">
        <w:rPr>
          <w:rFonts w:ascii="Times New Roman" w:hAnsi="Times New Roman" w:cs="Times New Roman"/>
          <w:sz w:val="24"/>
          <w:szCs w:val="24"/>
        </w:rPr>
        <w:t xml:space="preserve"> 1975-77</w:t>
      </w:r>
      <w:r w:rsidRPr="004C75E0">
        <w:rPr>
          <w:rFonts w:ascii="Times New Roman" w:hAnsi="Times New Roman" w:cs="Times New Roman"/>
          <w:sz w:val="24"/>
          <w:szCs w:val="24"/>
        </w:rPr>
        <w:t>,</w:t>
      </w:r>
      <w:r w:rsidR="00D25857" w:rsidRPr="004C75E0">
        <w:rPr>
          <w:rFonts w:ascii="Times New Roman" w:hAnsi="Times New Roman" w:cs="Times New Roman"/>
          <w:sz w:val="24"/>
          <w:szCs w:val="24"/>
        </w:rPr>
        <w:t xml:space="preserve"> an increase of 78,626 in</w:t>
      </w:r>
      <w:r w:rsidRPr="004C75E0">
        <w:rPr>
          <w:rFonts w:ascii="Times New Roman" w:hAnsi="Times New Roman" w:cs="Times New Roman"/>
          <w:sz w:val="24"/>
          <w:szCs w:val="24"/>
        </w:rPr>
        <w:t xml:space="preserve"> </w:t>
      </w:r>
      <w:r w:rsidR="00D25857" w:rsidRPr="004C75E0">
        <w:rPr>
          <w:rFonts w:ascii="Times New Roman" w:hAnsi="Times New Roman" w:cs="Times New Roman"/>
          <w:sz w:val="24"/>
          <w:szCs w:val="24"/>
        </w:rPr>
        <w:t xml:space="preserve">primary school </w:t>
      </w:r>
      <w:r w:rsidRPr="004C75E0">
        <w:rPr>
          <w:rFonts w:ascii="Times New Roman" w:hAnsi="Times New Roman" w:cs="Times New Roman"/>
          <w:sz w:val="24"/>
          <w:szCs w:val="24"/>
        </w:rPr>
        <w:t>enrolment</w:t>
      </w:r>
      <w:r w:rsidR="00D25857" w:rsidRPr="004C75E0">
        <w:rPr>
          <w:rFonts w:ascii="Times New Roman" w:hAnsi="Times New Roman" w:cs="Times New Roman"/>
          <w:sz w:val="24"/>
          <w:szCs w:val="24"/>
        </w:rPr>
        <w:t xml:space="preserve"> was made possible by an investment of K7.8 million (at</w:t>
      </w:r>
      <w:r w:rsidR="000C739F" w:rsidRPr="004C75E0">
        <w:rPr>
          <w:rFonts w:ascii="Times New Roman" w:hAnsi="Times New Roman" w:cs="Times New Roman"/>
          <w:sz w:val="24"/>
          <w:szCs w:val="24"/>
        </w:rPr>
        <w:t xml:space="preserve"> </w:t>
      </w:r>
      <w:r w:rsidR="00D25857" w:rsidRPr="004C75E0">
        <w:rPr>
          <w:rFonts w:ascii="Times New Roman" w:hAnsi="Times New Roman" w:cs="Times New Roman"/>
          <w:sz w:val="24"/>
          <w:szCs w:val="24"/>
        </w:rPr>
        <w:t xml:space="preserve">1975 prices). During the subsequent five years, 1978-82, the </w:t>
      </w:r>
      <w:r w:rsidR="000C739F" w:rsidRPr="004C75E0">
        <w:rPr>
          <w:rFonts w:ascii="Times New Roman" w:hAnsi="Times New Roman" w:cs="Times New Roman"/>
          <w:sz w:val="24"/>
          <w:szCs w:val="24"/>
        </w:rPr>
        <w:t>enrolment</w:t>
      </w:r>
      <w:r w:rsidR="00D25857" w:rsidRPr="004C75E0">
        <w:rPr>
          <w:rFonts w:ascii="Times New Roman" w:hAnsi="Times New Roman" w:cs="Times New Roman"/>
          <w:sz w:val="24"/>
          <w:szCs w:val="24"/>
        </w:rPr>
        <w:t xml:space="preserve"> grew by a</w:t>
      </w:r>
      <w:r w:rsidR="000C739F" w:rsidRPr="004C75E0">
        <w:rPr>
          <w:rFonts w:ascii="Times New Roman" w:hAnsi="Times New Roman" w:cs="Times New Roman"/>
          <w:sz w:val="24"/>
          <w:szCs w:val="24"/>
        </w:rPr>
        <w:t xml:space="preserve"> </w:t>
      </w:r>
      <w:r w:rsidR="00D25857" w:rsidRPr="004C75E0">
        <w:rPr>
          <w:rFonts w:ascii="Times New Roman" w:hAnsi="Times New Roman" w:cs="Times New Roman"/>
          <w:sz w:val="24"/>
          <w:szCs w:val="24"/>
        </w:rPr>
        <w:t>further 184,952, but the i</w:t>
      </w:r>
      <w:r w:rsidR="000C739F" w:rsidRPr="004C75E0">
        <w:rPr>
          <w:rFonts w:ascii="Times New Roman" w:hAnsi="Times New Roman" w:cs="Times New Roman"/>
          <w:sz w:val="24"/>
          <w:szCs w:val="24"/>
        </w:rPr>
        <w:t xml:space="preserve">nvestment fell to K4.6 million. During the period </w:t>
      </w:r>
      <w:r w:rsidR="00D25857" w:rsidRPr="004C75E0">
        <w:rPr>
          <w:rFonts w:ascii="Times New Roman" w:hAnsi="Times New Roman" w:cs="Times New Roman"/>
          <w:sz w:val="24"/>
          <w:szCs w:val="24"/>
        </w:rPr>
        <w:t>1983-85</w:t>
      </w:r>
      <w:r w:rsidR="000C739F" w:rsidRPr="004C75E0">
        <w:rPr>
          <w:rFonts w:ascii="Times New Roman" w:hAnsi="Times New Roman" w:cs="Times New Roman"/>
          <w:sz w:val="24"/>
          <w:szCs w:val="24"/>
        </w:rPr>
        <w:t>,</w:t>
      </w:r>
      <w:r w:rsidR="00D25857" w:rsidRPr="004C75E0">
        <w:rPr>
          <w:rFonts w:ascii="Times New Roman" w:hAnsi="Times New Roman" w:cs="Times New Roman"/>
          <w:sz w:val="24"/>
          <w:szCs w:val="24"/>
        </w:rPr>
        <w:t xml:space="preserve"> an </w:t>
      </w:r>
      <w:r w:rsidR="000C739F" w:rsidRPr="004C75E0">
        <w:rPr>
          <w:rFonts w:ascii="Times New Roman" w:hAnsi="Times New Roman" w:cs="Times New Roman"/>
          <w:sz w:val="24"/>
          <w:szCs w:val="24"/>
        </w:rPr>
        <w:t>enrolment</w:t>
      </w:r>
      <w:r w:rsidR="00D25857" w:rsidRPr="004C75E0">
        <w:rPr>
          <w:rFonts w:ascii="Times New Roman" w:hAnsi="Times New Roman" w:cs="Times New Roman"/>
          <w:sz w:val="24"/>
          <w:szCs w:val="24"/>
        </w:rPr>
        <w:t xml:space="preserve"> increase of 226,920 was sustained by capital expenditure of</w:t>
      </w:r>
      <w:r w:rsidR="000C739F" w:rsidRPr="004C75E0">
        <w:rPr>
          <w:rFonts w:ascii="Times New Roman" w:hAnsi="Times New Roman" w:cs="Times New Roman"/>
          <w:sz w:val="24"/>
          <w:szCs w:val="24"/>
        </w:rPr>
        <w:t xml:space="preserve"> </w:t>
      </w:r>
      <w:r w:rsidR="00D25857" w:rsidRPr="004C75E0">
        <w:rPr>
          <w:rFonts w:ascii="Times New Roman" w:hAnsi="Times New Roman" w:cs="Times New Roman"/>
          <w:sz w:val="24"/>
          <w:szCs w:val="24"/>
        </w:rPr>
        <w:t>no more than K0.3 million. In other words, the investment at the primary level fell</w:t>
      </w:r>
      <w:r w:rsidRPr="004C75E0">
        <w:rPr>
          <w:rFonts w:ascii="Times New Roman" w:hAnsi="Times New Roman" w:cs="Times New Roman"/>
          <w:sz w:val="24"/>
          <w:szCs w:val="24"/>
        </w:rPr>
        <w:t xml:space="preserve"> </w:t>
      </w:r>
      <w:r w:rsidR="00D25857" w:rsidRPr="004C75E0">
        <w:rPr>
          <w:rFonts w:ascii="Times New Roman" w:hAnsi="Times New Roman" w:cs="Times New Roman"/>
          <w:sz w:val="24"/>
          <w:szCs w:val="24"/>
        </w:rPr>
        <w:t>from K99 per additional place in 1975-77 to K1.3 in 1983-85; a drop of more than 98</w:t>
      </w:r>
      <w:r w:rsidR="000C739F" w:rsidRPr="004C75E0">
        <w:rPr>
          <w:rFonts w:ascii="Times New Roman" w:hAnsi="Times New Roman" w:cs="Times New Roman"/>
          <w:sz w:val="24"/>
          <w:szCs w:val="24"/>
        </w:rPr>
        <w:t xml:space="preserve"> </w:t>
      </w:r>
      <w:r w:rsidR="00D25857" w:rsidRPr="004C75E0">
        <w:rPr>
          <w:rFonts w:ascii="Times New Roman" w:hAnsi="Times New Roman" w:cs="Times New Roman"/>
          <w:sz w:val="24"/>
          <w:szCs w:val="24"/>
        </w:rPr>
        <w:t>percent.</w:t>
      </w:r>
      <w:r w:rsidR="00CC2144" w:rsidRPr="004C75E0">
        <w:rPr>
          <w:rFonts w:ascii="Times New Roman" w:hAnsi="Times New Roman" w:cs="Times New Roman"/>
          <w:sz w:val="24"/>
          <w:szCs w:val="24"/>
        </w:rPr>
        <w:t xml:space="preserve"> </w:t>
      </w:r>
    </w:p>
    <w:p w14:paraId="2B4AA12D" w14:textId="77777777" w:rsidR="0028699E" w:rsidRPr="004C75E0" w:rsidRDefault="0028699E" w:rsidP="00A60BD4">
      <w:pPr>
        <w:autoSpaceDE w:val="0"/>
        <w:autoSpaceDN w:val="0"/>
        <w:adjustRightInd w:val="0"/>
        <w:spacing w:after="0" w:line="360" w:lineRule="auto"/>
        <w:jc w:val="both"/>
        <w:rPr>
          <w:rFonts w:ascii="Times New Roman" w:hAnsi="Times New Roman" w:cs="Times New Roman"/>
          <w:sz w:val="24"/>
          <w:szCs w:val="24"/>
        </w:rPr>
      </w:pPr>
    </w:p>
    <w:p w14:paraId="69161689" w14:textId="77777777" w:rsidR="00C3620E" w:rsidRPr="004C75E0" w:rsidRDefault="000171F1"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color w:val="000000"/>
          <w:sz w:val="24"/>
          <w:szCs w:val="24"/>
        </w:rPr>
        <w:t>T</w:t>
      </w:r>
      <w:r w:rsidR="0028699E" w:rsidRPr="004C75E0">
        <w:rPr>
          <w:rFonts w:ascii="Times New Roman" w:hAnsi="Times New Roman" w:cs="Times New Roman"/>
          <w:color w:val="000000"/>
          <w:sz w:val="24"/>
          <w:szCs w:val="24"/>
        </w:rPr>
        <w:t>hroughout the 1980s and 1990s, economic stress and a heavy debt burden</w:t>
      </w:r>
      <w:r w:rsidR="00DE2CE8" w:rsidRPr="004C75E0">
        <w:rPr>
          <w:rStyle w:val="FootnoteReference"/>
          <w:rFonts w:ascii="Times New Roman" w:hAnsi="Times New Roman" w:cs="Times New Roman"/>
          <w:color w:val="000000"/>
          <w:sz w:val="24"/>
          <w:szCs w:val="24"/>
        </w:rPr>
        <w:footnoteReference w:id="2"/>
      </w:r>
      <w:r w:rsidR="0028699E" w:rsidRPr="004C75E0">
        <w:rPr>
          <w:rFonts w:ascii="Times New Roman" w:hAnsi="Times New Roman" w:cs="Times New Roman"/>
          <w:color w:val="000000"/>
          <w:sz w:val="24"/>
          <w:szCs w:val="24"/>
        </w:rPr>
        <w:t xml:space="preserve"> forced the Government of the Republic of Zambia (GRZ) to cut budgets for education. </w:t>
      </w:r>
      <w:r w:rsidR="008D0C69" w:rsidRPr="004C75E0">
        <w:rPr>
          <w:rFonts w:ascii="Times New Roman" w:hAnsi="Times New Roman" w:cs="Times New Roman"/>
          <w:color w:val="000000"/>
          <w:sz w:val="24"/>
          <w:szCs w:val="24"/>
        </w:rPr>
        <w:t xml:space="preserve"> </w:t>
      </w:r>
      <w:r w:rsidR="008D0C69" w:rsidRPr="004C75E0">
        <w:rPr>
          <w:rFonts w:ascii="Times New Roman" w:hAnsi="Times New Roman" w:cs="Times New Roman"/>
          <w:sz w:val="24"/>
          <w:szCs w:val="24"/>
        </w:rPr>
        <w:t>Real expenditure on education dramatically declined between 1984 and</w:t>
      </w:r>
      <w:r w:rsidR="008D0C69" w:rsidRPr="004C75E0">
        <w:rPr>
          <w:rFonts w:ascii="Times New Roman" w:hAnsi="Times New Roman" w:cs="Times New Roman"/>
          <w:color w:val="000000"/>
          <w:sz w:val="24"/>
          <w:szCs w:val="24"/>
        </w:rPr>
        <w:t xml:space="preserve"> </w:t>
      </w:r>
      <w:r w:rsidR="008D0C69" w:rsidRPr="004C75E0">
        <w:rPr>
          <w:rFonts w:ascii="Times New Roman" w:hAnsi="Times New Roman" w:cs="Times New Roman"/>
          <w:sz w:val="24"/>
          <w:szCs w:val="24"/>
        </w:rPr>
        <w:t>1995 (White and Dijkstra, 2003:426). In 1998, per capita expenditure for pupils</w:t>
      </w:r>
      <w:r w:rsidR="008D0C69" w:rsidRPr="004C75E0">
        <w:rPr>
          <w:rFonts w:ascii="Times New Roman" w:hAnsi="Times New Roman" w:cs="Times New Roman"/>
          <w:color w:val="000000"/>
          <w:sz w:val="24"/>
          <w:szCs w:val="24"/>
        </w:rPr>
        <w:t xml:space="preserve"> </w:t>
      </w:r>
      <w:r w:rsidR="008D0C69" w:rsidRPr="004C75E0">
        <w:rPr>
          <w:rFonts w:ascii="Times New Roman" w:hAnsi="Times New Roman" w:cs="Times New Roman"/>
          <w:sz w:val="24"/>
          <w:szCs w:val="24"/>
        </w:rPr>
        <w:t>at the p</w:t>
      </w:r>
      <w:r w:rsidRPr="004C75E0">
        <w:rPr>
          <w:rFonts w:ascii="Times New Roman" w:hAnsi="Times New Roman" w:cs="Times New Roman"/>
          <w:sz w:val="24"/>
          <w:szCs w:val="24"/>
        </w:rPr>
        <w:t>rimary s</w:t>
      </w:r>
      <w:r w:rsidR="00C3620E" w:rsidRPr="004C75E0">
        <w:rPr>
          <w:rFonts w:ascii="Times New Roman" w:hAnsi="Times New Roman" w:cs="Times New Roman"/>
          <w:sz w:val="24"/>
          <w:szCs w:val="24"/>
        </w:rPr>
        <w:t>chool level was only USD</w:t>
      </w:r>
      <w:r w:rsidR="008D0C69" w:rsidRPr="004C75E0">
        <w:rPr>
          <w:rFonts w:ascii="Times New Roman" w:hAnsi="Times New Roman" w:cs="Times New Roman"/>
          <w:sz w:val="24"/>
          <w:szCs w:val="24"/>
        </w:rPr>
        <w:t>17, which is half the amount of 1985</w:t>
      </w:r>
      <w:r w:rsidRPr="004C75E0">
        <w:rPr>
          <w:rFonts w:ascii="Times New Roman" w:hAnsi="Times New Roman" w:cs="Times New Roman"/>
          <w:color w:val="000000"/>
          <w:sz w:val="24"/>
          <w:szCs w:val="24"/>
        </w:rPr>
        <w:t xml:space="preserve"> </w:t>
      </w:r>
      <w:r w:rsidR="008D0C69" w:rsidRPr="004C75E0">
        <w:rPr>
          <w:rFonts w:ascii="Times New Roman" w:hAnsi="Times New Roman" w:cs="Times New Roman"/>
          <w:sz w:val="24"/>
          <w:szCs w:val="24"/>
        </w:rPr>
        <w:t xml:space="preserve">(MoE, 2007). </w:t>
      </w:r>
    </w:p>
    <w:p w14:paraId="0F6B61C9" w14:textId="77777777" w:rsidR="00C3620E" w:rsidRPr="004C75E0" w:rsidRDefault="00C3620E" w:rsidP="00A60BD4">
      <w:pPr>
        <w:autoSpaceDE w:val="0"/>
        <w:autoSpaceDN w:val="0"/>
        <w:adjustRightInd w:val="0"/>
        <w:spacing w:after="0" w:line="360" w:lineRule="auto"/>
        <w:jc w:val="both"/>
        <w:rPr>
          <w:rFonts w:ascii="Times New Roman" w:hAnsi="Times New Roman" w:cs="Times New Roman"/>
          <w:sz w:val="24"/>
          <w:szCs w:val="24"/>
        </w:rPr>
      </w:pPr>
    </w:p>
    <w:p w14:paraId="25931198" w14:textId="053BEA07" w:rsidR="000171F1" w:rsidRPr="004C75E0" w:rsidRDefault="00611637" w:rsidP="00A60BD4">
      <w:pPr>
        <w:autoSpaceDE w:val="0"/>
        <w:autoSpaceDN w:val="0"/>
        <w:adjustRightInd w:val="0"/>
        <w:spacing w:after="0" w:line="360" w:lineRule="auto"/>
        <w:jc w:val="both"/>
        <w:rPr>
          <w:rFonts w:ascii="Times New Roman" w:hAnsi="Times New Roman" w:cs="Times New Roman"/>
          <w:color w:val="000000"/>
          <w:sz w:val="24"/>
          <w:szCs w:val="24"/>
        </w:rPr>
      </w:pPr>
      <w:r w:rsidRPr="004C75E0">
        <w:rPr>
          <w:rFonts w:ascii="Times New Roman" w:hAnsi="Times New Roman" w:cs="Times New Roman"/>
          <w:sz w:val="24"/>
          <w:szCs w:val="24"/>
        </w:rPr>
        <w:t>At the turn</w:t>
      </w:r>
      <w:r w:rsidR="008D0C69" w:rsidRPr="004C75E0">
        <w:rPr>
          <w:rFonts w:ascii="Times New Roman" w:hAnsi="Times New Roman" w:cs="Times New Roman"/>
          <w:sz w:val="24"/>
          <w:szCs w:val="24"/>
        </w:rPr>
        <w:t xml:space="preserve"> of the century, average real government expenditure on</w:t>
      </w:r>
      <w:r w:rsidR="000171F1" w:rsidRPr="004C75E0">
        <w:rPr>
          <w:rFonts w:ascii="Times New Roman" w:hAnsi="Times New Roman" w:cs="Times New Roman"/>
          <w:color w:val="000000"/>
          <w:sz w:val="24"/>
          <w:szCs w:val="24"/>
        </w:rPr>
        <w:t xml:space="preserve"> </w:t>
      </w:r>
      <w:r w:rsidR="008D0C69" w:rsidRPr="004C75E0">
        <w:rPr>
          <w:rFonts w:ascii="Times New Roman" w:hAnsi="Times New Roman" w:cs="Times New Roman"/>
          <w:sz w:val="24"/>
          <w:szCs w:val="24"/>
        </w:rPr>
        <w:t>education (per ca</w:t>
      </w:r>
      <w:r w:rsidR="000171F1" w:rsidRPr="004C75E0">
        <w:rPr>
          <w:rFonts w:ascii="Times New Roman" w:hAnsi="Times New Roman" w:cs="Times New Roman"/>
          <w:sz w:val="24"/>
          <w:szCs w:val="24"/>
        </w:rPr>
        <w:t>pita) was no more than about 60 percent</w:t>
      </w:r>
      <w:r w:rsidR="008D0C69" w:rsidRPr="004C75E0">
        <w:rPr>
          <w:rFonts w:ascii="Times New Roman" w:hAnsi="Times New Roman" w:cs="Times New Roman"/>
          <w:sz w:val="24"/>
          <w:szCs w:val="24"/>
        </w:rPr>
        <w:t xml:space="preserve"> of the level at the beginning</w:t>
      </w:r>
      <w:r w:rsidR="000171F1" w:rsidRPr="004C75E0">
        <w:rPr>
          <w:rFonts w:ascii="Times New Roman" w:hAnsi="Times New Roman" w:cs="Times New Roman"/>
          <w:color w:val="000000"/>
          <w:sz w:val="24"/>
          <w:szCs w:val="24"/>
        </w:rPr>
        <w:t xml:space="preserve"> </w:t>
      </w:r>
      <w:r w:rsidR="008D0C69" w:rsidRPr="004C75E0">
        <w:rPr>
          <w:rFonts w:ascii="Times New Roman" w:hAnsi="Times New Roman" w:cs="Times New Roman"/>
          <w:sz w:val="24"/>
          <w:szCs w:val="24"/>
        </w:rPr>
        <w:t>of the decade (Das et al., 2004). This underfunding of the education sector led to</w:t>
      </w:r>
      <w:r w:rsidR="000171F1" w:rsidRPr="004C75E0">
        <w:rPr>
          <w:rFonts w:ascii="Times New Roman" w:hAnsi="Times New Roman" w:cs="Times New Roman"/>
          <w:color w:val="000000"/>
          <w:sz w:val="24"/>
          <w:szCs w:val="24"/>
        </w:rPr>
        <w:t xml:space="preserve"> </w:t>
      </w:r>
      <w:r w:rsidR="008D0C69" w:rsidRPr="004C75E0">
        <w:rPr>
          <w:rFonts w:ascii="Times New Roman" w:hAnsi="Times New Roman" w:cs="Times New Roman"/>
          <w:sz w:val="24"/>
          <w:szCs w:val="24"/>
        </w:rPr>
        <w:t>cuts in non-salary recurrent expenditures and investments. The school</w:t>
      </w:r>
      <w:r w:rsidR="000171F1" w:rsidRPr="004C75E0">
        <w:rPr>
          <w:rFonts w:ascii="Times New Roman" w:hAnsi="Times New Roman" w:cs="Times New Roman"/>
          <w:color w:val="000000"/>
          <w:sz w:val="24"/>
          <w:szCs w:val="24"/>
        </w:rPr>
        <w:t xml:space="preserve"> </w:t>
      </w:r>
      <w:r w:rsidR="008D0C69" w:rsidRPr="004C75E0">
        <w:rPr>
          <w:rFonts w:ascii="Times New Roman" w:hAnsi="Times New Roman" w:cs="Times New Roman"/>
          <w:sz w:val="24"/>
          <w:szCs w:val="24"/>
        </w:rPr>
        <w:t>infra</w:t>
      </w:r>
      <w:r w:rsidR="000171F1" w:rsidRPr="004C75E0">
        <w:rPr>
          <w:rFonts w:ascii="Times New Roman" w:hAnsi="Times New Roman" w:cs="Times New Roman"/>
          <w:sz w:val="24"/>
          <w:szCs w:val="24"/>
        </w:rPr>
        <w:t xml:space="preserve">structure deteriorated and most </w:t>
      </w:r>
      <w:r w:rsidR="008D0C69" w:rsidRPr="004C75E0">
        <w:rPr>
          <w:rFonts w:ascii="Times New Roman" w:hAnsi="Times New Roman" w:cs="Times New Roman"/>
          <w:sz w:val="24"/>
          <w:szCs w:val="24"/>
        </w:rPr>
        <w:t>schools lacked adequate furniture, textbooks</w:t>
      </w:r>
      <w:r w:rsidR="000171F1" w:rsidRPr="004C75E0">
        <w:rPr>
          <w:rFonts w:ascii="Times New Roman" w:hAnsi="Times New Roman" w:cs="Times New Roman"/>
          <w:color w:val="000000"/>
          <w:sz w:val="24"/>
          <w:szCs w:val="24"/>
        </w:rPr>
        <w:t xml:space="preserve"> </w:t>
      </w:r>
      <w:r w:rsidR="008D0C69" w:rsidRPr="004C75E0">
        <w:rPr>
          <w:rFonts w:ascii="Times New Roman" w:hAnsi="Times New Roman" w:cs="Times New Roman"/>
          <w:sz w:val="24"/>
          <w:szCs w:val="24"/>
        </w:rPr>
        <w:t>and learning materials. Moreover, there were not enough schools and especially in</w:t>
      </w:r>
      <w:r w:rsidR="000171F1" w:rsidRPr="004C75E0">
        <w:rPr>
          <w:rFonts w:ascii="Times New Roman" w:hAnsi="Times New Roman" w:cs="Times New Roman"/>
          <w:color w:val="000000"/>
          <w:sz w:val="24"/>
          <w:szCs w:val="24"/>
        </w:rPr>
        <w:t xml:space="preserve"> </w:t>
      </w:r>
      <w:r w:rsidR="008D0C69" w:rsidRPr="004C75E0">
        <w:rPr>
          <w:rFonts w:ascii="Times New Roman" w:hAnsi="Times New Roman" w:cs="Times New Roman"/>
          <w:sz w:val="24"/>
          <w:szCs w:val="24"/>
        </w:rPr>
        <w:t>the rural areas children had to walk long distances to the school. In urban areas,</w:t>
      </w:r>
      <w:r w:rsidR="000171F1" w:rsidRPr="004C75E0">
        <w:rPr>
          <w:rFonts w:ascii="Times New Roman" w:hAnsi="Times New Roman" w:cs="Times New Roman"/>
          <w:color w:val="000000"/>
          <w:sz w:val="24"/>
          <w:szCs w:val="24"/>
        </w:rPr>
        <w:t xml:space="preserve"> </w:t>
      </w:r>
      <w:r w:rsidR="008D0C69" w:rsidRPr="004C75E0">
        <w:rPr>
          <w:rFonts w:ascii="Times New Roman" w:hAnsi="Times New Roman" w:cs="Times New Roman"/>
          <w:sz w:val="24"/>
          <w:szCs w:val="24"/>
        </w:rPr>
        <w:t>schools were overcrowded</w:t>
      </w:r>
      <w:r w:rsidR="007E0C30">
        <w:rPr>
          <w:rFonts w:ascii="Times New Roman" w:hAnsi="Times New Roman" w:cs="Times New Roman"/>
          <w:sz w:val="24"/>
          <w:szCs w:val="24"/>
        </w:rPr>
        <w:t xml:space="preserve"> (IOB, 2000)</w:t>
      </w:r>
      <w:r w:rsidR="008D0C69" w:rsidRPr="004C75E0">
        <w:rPr>
          <w:rFonts w:ascii="Times New Roman" w:hAnsi="Times New Roman" w:cs="Times New Roman"/>
          <w:sz w:val="24"/>
          <w:szCs w:val="24"/>
        </w:rPr>
        <w:t>.</w:t>
      </w:r>
      <w:r w:rsidR="000171F1" w:rsidRPr="004C75E0">
        <w:rPr>
          <w:rFonts w:ascii="Times New Roman" w:hAnsi="Times New Roman" w:cs="Times New Roman"/>
          <w:color w:val="000000"/>
          <w:sz w:val="24"/>
          <w:szCs w:val="24"/>
        </w:rPr>
        <w:t xml:space="preserve"> </w:t>
      </w:r>
    </w:p>
    <w:p w14:paraId="1616C931" w14:textId="77777777" w:rsidR="00C3620E" w:rsidRPr="004C75E0" w:rsidRDefault="00C3620E" w:rsidP="00A60BD4">
      <w:pPr>
        <w:autoSpaceDE w:val="0"/>
        <w:autoSpaceDN w:val="0"/>
        <w:adjustRightInd w:val="0"/>
        <w:spacing w:after="0" w:line="360" w:lineRule="auto"/>
        <w:jc w:val="both"/>
        <w:rPr>
          <w:rFonts w:ascii="Times New Roman" w:hAnsi="Times New Roman" w:cs="Times New Roman"/>
          <w:color w:val="000000"/>
          <w:sz w:val="24"/>
          <w:szCs w:val="24"/>
        </w:rPr>
      </w:pPr>
    </w:p>
    <w:p w14:paraId="03310F88" w14:textId="77777777" w:rsidR="008D0C69" w:rsidRPr="004C75E0" w:rsidRDefault="008D0C69"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A</w:t>
      </w:r>
      <w:r w:rsidR="00C3620E" w:rsidRPr="004C75E0">
        <w:rPr>
          <w:rFonts w:ascii="Times New Roman" w:hAnsi="Times New Roman" w:cs="Times New Roman"/>
          <w:sz w:val="24"/>
          <w:szCs w:val="24"/>
        </w:rPr>
        <w:t>s a result</w:t>
      </w:r>
      <w:r w:rsidRPr="004C75E0">
        <w:rPr>
          <w:rFonts w:ascii="Times New Roman" w:hAnsi="Times New Roman" w:cs="Times New Roman"/>
          <w:sz w:val="24"/>
          <w:szCs w:val="24"/>
        </w:rPr>
        <w:t>, the literacy rate of the population deteriorated.</w:t>
      </w:r>
      <w:r w:rsidR="000171F1" w:rsidRPr="004C75E0">
        <w:rPr>
          <w:rFonts w:ascii="Times New Roman" w:hAnsi="Times New Roman" w:cs="Times New Roman"/>
          <w:color w:val="000000"/>
          <w:sz w:val="24"/>
          <w:szCs w:val="24"/>
        </w:rPr>
        <w:t xml:space="preserve"> </w:t>
      </w:r>
      <w:r w:rsidR="000171F1" w:rsidRPr="004C75E0">
        <w:rPr>
          <w:rFonts w:ascii="Times New Roman" w:hAnsi="Times New Roman" w:cs="Times New Roman"/>
          <w:sz w:val="24"/>
          <w:szCs w:val="24"/>
        </w:rPr>
        <w:t>In 2001, 75 percent</w:t>
      </w:r>
      <w:r w:rsidRPr="004C75E0">
        <w:rPr>
          <w:rFonts w:ascii="Times New Roman" w:hAnsi="Times New Roman" w:cs="Times New Roman"/>
          <w:sz w:val="24"/>
          <w:szCs w:val="24"/>
        </w:rPr>
        <w:t xml:space="preserve"> of the children left primary school </w:t>
      </w:r>
      <w:r w:rsidR="000171F1" w:rsidRPr="004C75E0">
        <w:rPr>
          <w:rFonts w:ascii="Times New Roman" w:hAnsi="Times New Roman" w:cs="Times New Roman"/>
          <w:sz w:val="24"/>
          <w:szCs w:val="24"/>
        </w:rPr>
        <w:t>illiterate (World Bank 2001:</w:t>
      </w:r>
      <w:r w:rsidRPr="004C75E0">
        <w:rPr>
          <w:rFonts w:ascii="Times New Roman" w:hAnsi="Times New Roman" w:cs="Times New Roman"/>
          <w:sz w:val="24"/>
          <w:szCs w:val="24"/>
        </w:rPr>
        <w:t>70).</w:t>
      </w:r>
      <w:r w:rsidR="000171F1" w:rsidRPr="004C75E0">
        <w:rPr>
          <w:rFonts w:ascii="Times New Roman" w:hAnsi="Times New Roman" w:cs="Times New Roman"/>
          <w:color w:val="000000"/>
          <w:sz w:val="24"/>
          <w:szCs w:val="24"/>
        </w:rPr>
        <w:t xml:space="preserve"> </w:t>
      </w:r>
      <w:r w:rsidRPr="004C75E0">
        <w:rPr>
          <w:rFonts w:ascii="Times New Roman" w:hAnsi="Times New Roman" w:cs="Times New Roman"/>
          <w:sz w:val="24"/>
          <w:szCs w:val="24"/>
        </w:rPr>
        <w:t>Literacy rates for m</w:t>
      </w:r>
      <w:r w:rsidR="000171F1" w:rsidRPr="004C75E0">
        <w:rPr>
          <w:rFonts w:ascii="Times New Roman" w:hAnsi="Times New Roman" w:cs="Times New Roman"/>
          <w:sz w:val="24"/>
          <w:szCs w:val="24"/>
        </w:rPr>
        <w:t>en aged 40-49 (approximately 90 percent</w:t>
      </w:r>
      <w:r w:rsidRPr="004C75E0">
        <w:rPr>
          <w:rFonts w:ascii="Times New Roman" w:hAnsi="Times New Roman" w:cs="Times New Roman"/>
          <w:sz w:val="24"/>
          <w:szCs w:val="24"/>
        </w:rPr>
        <w:t>) were considerably higher</w:t>
      </w:r>
      <w:r w:rsidR="000171F1" w:rsidRPr="004C75E0">
        <w:rPr>
          <w:rFonts w:ascii="Times New Roman" w:hAnsi="Times New Roman" w:cs="Times New Roman"/>
          <w:color w:val="000000"/>
          <w:sz w:val="24"/>
          <w:szCs w:val="24"/>
        </w:rPr>
        <w:t xml:space="preserve"> </w:t>
      </w:r>
      <w:r w:rsidRPr="004C75E0">
        <w:rPr>
          <w:rFonts w:ascii="Times New Roman" w:hAnsi="Times New Roman" w:cs="Times New Roman"/>
          <w:sz w:val="24"/>
          <w:szCs w:val="24"/>
        </w:rPr>
        <w:t>than the literac</w:t>
      </w:r>
      <w:r w:rsidR="000171F1" w:rsidRPr="004C75E0">
        <w:rPr>
          <w:rFonts w:ascii="Times New Roman" w:hAnsi="Times New Roman" w:cs="Times New Roman"/>
          <w:sz w:val="24"/>
          <w:szCs w:val="24"/>
        </w:rPr>
        <w:t>y rates of younger males (80-85 percent</w:t>
      </w:r>
      <w:r w:rsidRPr="004C75E0">
        <w:rPr>
          <w:rFonts w:ascii="Times New Roman" w:hAnsi="Times New Roman" w:cs="Times New Roman"/>
          <w:sz w:val="24"/>
          <w:szCs w:val="24"/>
        </w:rPr>
        <w:t>). Literacy rates for women were</w:t>
      </w:r>
      <w:r w:rsidR="000171F1" w:rsidRPr="004C75E0">
        <w:rPr>
          <w:rFonts w:ascii="Times New Roman" w:hAnsi="Times New Roman" w:cs="Times New Roman"/>
          <w:color w:val="000000"/>
          <w:sz w:val="24"/>
          <w:szCs w:val="24"/>
        </w:rPr>
        <w:t xml:space="preserve"> </w:t>
      </w:r>
      <w:r w:rsidR="000171F1" w:rsidRPr="004C75E0">
        <w:rPr>
          <w:rFonts w:ascii="Times New Roman" w:hAnsi="Times New Roman" w:cs="Times New Roman"/>
          <w:sz w:val="24"/>
          <w:szCs w:val="24"/>
        </w:rPr>
        <w:t>traditionally much lower (60-65 percent</w:t>
      </w:r>
      <w:r w:rsidRPr="004C75E0">
        <w:rPr>
          <w:rFonts w:ascii="Times New Roman" w:hAnsi="Times New Roman" w:cs="Times New Roman"/>
          <w:sz w:val="24"/>
          <w:szCs w:val="24"/>
        </w:rPr>
        <w:t>), but for women aged 15 to 24, they even dropped</w:t>
      </w:r>
      <w:r w:rsidR="000171F1" w:rsidRPr="004C75E0">
        <w:rPr>
          <w:rFonts w:ascii="Times New Roman" w:hAnsi="Times New Roman" w:cs="Times New Roman"/>
          <w:color w:val="000000"/>
          <w:sz w:val="24"/>
          <w:szCs w:val="24"/>
        </w:rPr>
        <w:t xml:space="preserve"> </w:t>
      </w:r>
      <w:r w:rsidR="000171F1" w:rsidRPr="004C75E0">
        <w:rPr>
          <w:rFonts w:ascii="Times New Roman" w:hAnsi="Times New Roman" w:cs="Times New Roman"/>
          <w:sz w:val="24"/>
          <w:szCs w:val="24"/>
        </w:rPr>
        <w:t>below 60 percent</w:t>
      </w:r>
      <w:r w:rsidRPr="004C75E0">
        <w:rPr>
          <w:rFonts w:ascii="Times New Roman" w:hAnsi="Times New Roman" w:cs="Times New Roman"/>
          <w:sz w:val="24"/>
          <w:szCs w:val="24"/>
        </w:rPr>
        <w:t xml:space="preserve"> (CSO, 2003). Women have always had a disadvantaged position in</w:t>
      </w:r>
      <w:r w:rsidR="000171F1" w:rsidRPr="004C75E0">
        <w:rPr>
          <w:rFonts w:ascii="Times New Roman" w:hAnsi="Times New Roman" w:cs="Times New Roman"/>
          <w:color w:val="000000"/>
          <w:sz w:val="24"/>
          <w:szCs w:val="24"/>
        </w:rPr>
        <w:t xml:space="preserve"> </w:t>
      </w:r>
      <w:r w:rsidRPr="004C75E0">
        <w:rPr>
          <w:rFonts w:ascii="Times New Roman" w:hAnsi="Times New Roman" w:cs="Times New Roman"/>
          <w:sz w:val="24"/>
          <w:szCs w:val="24"/>
        </w:rPr>
        <w:t>primary education, but were gradually falling even further behind their male peer</w:t>
      </w:r>
      <w:r w:rsidR="000171F1" w:rsidRPr="004C75E0">
        <w:rPr>
          <w:rFonts w:ascii="Times New Roman" w:hAnsi="Times New Roman" w:cs="Times New Roman"/>
          <w:color w:val="000000"/>
          <w:sz w:val="24"/>
          <w:szCs w:val="24"/>
        </w:rPr>
        <w:t xml:space="preserve"> </w:t>
      </w:r>
      <w:r w:rsidRPr="004C75E0">
        <w:rPr>
          <w:rFonts w:ascii="Times New Roman" w:hAnsi="Times New Roman" w:cs="Times New Roman"/>
          <w:sz w:val="24"/>
          <w:szCs w:val="24"/>
        </w:rPr>
        <w:t>groups. The expansion of primary and secondary education slowed down, and</w:t>
      </w:r>
      <w:r w:rsidR="000171F1" w:rsidRPr="004C75E0">
        <w:rPr>
          <w:rFonts w:ascii="Times New Roman" w:hAnsi="Times New Roman" w:cs="Times New Roman"/>
          <w:color w:val="000000"/>
          <w:sz w:val="24"/>
          <w:szCs w:val="24"/>
        </w:rPr>
        <w:t xml:space="preserve"> </w:t>
      </w:r>
      <w:r w:rsidRPr="004C75E0">
        <w:rPr>
          <w:rFonts w:ascii="Times New Roman" w:hAnsi="Times New Roman" w:cs="Times New Roman"/>
          <w:sz w:val="24"/>
          <w:szCs w:val="24"/>
        </w:rPr>
        <w:t>even declined. In spite of the popul</w:t>
      </w:r>
      <w:r w:rsidR="000171F1" w:rsidRPr="004C75E0">
        <w:rPr>
          <w:rFonts w:ascii="Times New Roman" w:hAnsi="Times New Roman" w:cs="Times New Roman"/>
          <w:sz w:val="24"/>
          <w:szCs w:val="24"/>
        </w:rPr>
        <w:t>ation growth (approximately 3.2 percent</w:t>
      </w:r>
      <w:r w:rsidR="00611637" w:rsidRPr="004C75E0">
        <w:rPr>
          <w:rFonts w:ascii="Times New Roman" w:hAnsi="Times New Roman" w:cs="Times New Roman"/>
          <w:sz w:val="24"/>
          <w:szCs w:val="24"/>
        </w:rPr>
        <w:t xml:space="preserve"> for the period 1990-2000</w:t>
      </w:r>
      <w:r w:rsidRPr="004C75E0">
        <w:rPr>
          <w:rFonts w:ascii="Times New Roman" w:hAnsi="Times New Roman" w:cs="Times New Roman"/>
          <w:sz w:val="24"/>
          <w:szCs w:val="24"/>
        </w:rPr>
        <w:t>), enrolment</w:t>
      </w:r>
      <w:r w:rsidR="000171F1" w:rsidRPr="004C75E0">
        <w:rPr>
          <w:rFonts w:ascii="Times New Roman" w:hAnsi="Times New Roman" w:cs="Times New Roman"/>
          <w:color w:val="000000"/>
          <w:sz w:val="24"/>
          <w:szCs w:val="24"/>
        </w:rPr>
        <w:t xml:space="preserve"> </w:t>
      </w:r>
      <w:r w:rsidRPr="004C75E0">
        <w:rPr>
          <w:rFonts w:ascii="Times New Roman" w:hAnsi="Times New Roman" w:cs="Times New Roman"/>
          <w:sz w:val="24"/>
          <w:szCs w:val="24"/>
        </w:rPr>
        <w:t>in primary education remained stable through</w:t>
      </w:r>
      <w:r w:rsidR="000171F1" w:rsidRPr="004C75E0">
        <w:rPr>
          <w:rFonts w:ascii="Times New Roman" w:hAnsi="Times New Roman" w:cs="Times New Roman"/>
          <w:sz w:val="24"/>
          <w:szCs w:val="24"/>
        </w:rPr>
        <w:t>out the 1990s. By 1999, 37 percent</w:t>
      </w:r>
      <w:r w:rsidRPr="004C75E0">
        <w:rPr>
          <w:rFonts w:ascii="Times New Roman" w:hAnsi="Times New Roman" w:cs="Times New Roman"/>
          <w:sz w:val="24"/>
          <w:szCs w:val="24"/>
        </w:rPr>
        <w:t xml:space="preserve"> of the</w:t>
      </w:r>
      <w:r w:rsidR="000171F1" w:rsidRPr="004C75E0">
        <w:rPr>
          <w:rFonts w:ascii="Times New Roman" w:hAnsi="Times New Roman" w:cs="Times New Roman"/>
          <w:color w:val="000000"/>
          <w:sz w:val="24"/>
          <w:szCs w:val="24"/>
        </w:rPr>
        <w:t xml:space="preserve"> </w:t>
      </w:r>
      <w:r w:rsidRPr="004C75E0">
        <w:rPr>
          <w:rFonts w:ascii="Times New Roman" w:hAnsi="Times New Roman" w:cs="Times New Roman"/>
          <w:sz w:val="24"/>
          <w:szCs w:val="24"/>
        </w:rPr>
        <w:t>children in the school-going age were not enrolled. In the rural areas, this</w:t>
      </w:r>
      <w:r w:rsidR="000171F1" w:rsidRPr="004C75E0">
        <w:rPr>
          <w:rFonts w:ascii="Times New Roman" w:hAnsi="Times New Roman" w:cs="Times New Roman"/>
          <w:color w:val="000000"/>
          <w:sz w:val="24"/>
          <w:szCs w:val="24"/>
        </w:rPr>
        <w:t xml:space="preserve"> </w:t>
      </w:r>
      <w:r w:rsidRPr="004C75E0">
        <w:rPr>
          <w:rFonts w:ascii="Times New Roman" w:hAnsi="Times New Roman" w:cs="Times New Roman"/>
          <w:sz w:val="24"/>
          <w:szCs w:val="24"/>
        </w:rPr>
        <w:t>percentag</w:t>
      </w:r>
      <w:r w:rsidR="000171F1" w:rsidRPr="004C75E0">
        <w:rPr>
          <w:rFonts w:ascii="Times New Roman" w:hAnsi="Times New Roman" w:cs="Times New Roman"/>
          <w:sz w:val="24"/>
          <w:szCs w:val="24"/>
        </w:rPr>
        <w:t>e even amounted to more than 60 percent</w:t>
      </w:r>
      <w:r w:rsidRPr="004C75E0">
        <w:rPr>
          <w:rFonts w:ascii="Times New Roman" w:hAnsi="Times New Roman" w:cs="Times New Roman"/>
          <w:sz w:val="24"/>
          <w:szCs w:val="24"/>
        </w:rPr>
        <w:t>.</w:t>
      </w:r>
    </w:p>
    <w:p w14:paraId="0C2D86C3" w14:textId="77777777" w:rsidR="000171F1" w:rsidRPr="004C75E0" w:rsidRDefault="000171F1" w:rsidP="00A60BD4">
      <w:pPr>
        <w:autoSpaceDE w:val="0"/>
        <w:autoSpaceDN w:val="0"/>
        <w:adjustRightInd w:val="0"/>
        <w:spacing w:after="0" w:line="360" w:lineRule="auto"/>
        <w:jc w:val="both"/>
        <w:rPr>
          <w:rFonts w:ascii="Times New Roman" w:hAnsi="Times New Roman" w:cs="Times New Roman"/>
          <w:sz w:val="20"/>
          <w:szCs w:val="20"/>
        </w:rPr>
      </w:pPr>
    </w:p>
    <w:p w14:paraId="49979CB7" w14:textId="68197C8B" w:rsidR="000171F1" w:rsidRPr="004C75E0" w:rsidRDefault="000171F1"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In 1999, net enrolment rates in Zambia (63 percent) were comparable with those in Kenya (64 percent) and much higher than those in Mozambique (52 percent) and Tanzania (48 percent) (UNESCO, 2007). Nevertheless, the education budget (2 percent of GDP) was low compared to other southern African countries (4-5 percent). As a result of long underinvestment in education, Zambian children scored relatively low on international tests. In 2000, pupils in Kenya, Mozambique, Tanzania and Uganda produced better results for reading and ma</w:t>
      </w:r>
      <w:r w:rsidR="007E0C30">
        <w:rPr>
          <w:rFonts w:ascii="Times New Roman" w:hAnsi="Times New Roman" w:cs="Times New Roman"/>
          <w:sz w:val="24"/>
          <w:szCs w:val="24"/>
        </w:rPr>
        <w:t>thematics than pupils in Zambia (UNICEF, 2013)</w:t>
      </w:r>
      <w:r w:rsidRPr="004C75E0">
        <w:rPr>
          <w:rFonts w:ascii="Times New Roman" w:hAnsi="Times New Roman" w:cs="Times New Roman"/>
          <w:sz w:val="24"/>
          <w:szCs w:val="24"/>
        </w:rPr>
        <w:t>. Only Malawian pupils showed lower figures.</w:t>
      </w:r>
    </w:p>
    <w:p w14:paraId="5863F9F4" w14:textId="77777777" w:rsidR="000171F1" w:rsidRPr="004C75E0" w:rsidRDefault="000171F1" w:rsidP="00A60BD4">
      <w:pPr>
        <w:autoSpaceDE w:val="0"/>
        <w:autoSpaceDN w:val="0"/>
        <w:adjustRightInd w:val="0"/>
        <w:spacing w:after="0" w:line="360" w:lineRule="auto"/>
        <w:jc w:val="both"/>
        <w:rPr>
          <w:rFonts w:ascii="Times New Roman" w:hAnsi="Times New Roman" w:cs="Times New Roman"/>
          <w:sz w:val="24"/>
          <w:szCs w:val="24"/>
        </w:rPr>
      </w:pPr>
    </w:p>
    <w:p w14:paraId="0E78DC43" w14:textId="77777777" w:rsidR="00605B67" w:rsidRPr="004C75E0" w:rsidRDefault="00A3202F" w:rsidP="00A60BD4">
      <w:pPr>
        <w:autoSpaceDE w:val="0"/>
        <w:autoSpaceDN w:val="0"/>
        <w:adjustRightInd w:val="0"/>
        <w:spacing w:after="0" w:line="360" w:lineRule="auto"/>
        <w:jc w:val="both"/>
        <w:rPr>
          <w:rFonts w:ascii="Times New Roman" w:hAnsi="Times New Roman" w:cs="Times New Roman"/>
          <w:color w:val="000000"/>
          <w:sz w:val="24"/>
          <w:szCs w:val="24"/>
        </w:rPr>
      </w:pPr>
      <w:r w:rsidRPr="004C75E0">
        <w:rPr>
          <w:rFonts w:ascii="Times New Roman" w:hAnsi="Times New Roman" w:cs="Times New Roman"/>
          <w:sz w:val="24"/>
          <w:szCs w:val="24"/>
        </w:rPr>
        <w:t xml:space="preserve">Towards the end of </w:t>
      </w:r>
      <w:r w:rsidR="00CC2144" w:rsidRPr="004C75E0">
        <w:rPr>
          <w:rFonts w:ascii="Times New Roman" w:hAnsi="Times New Roman" w:cs="Times New Roman"/>
          <w:sz w:val="24"/>
          <w:szCs w:val="24"/>
        </w:rPr>
        <w:t>the 1990s</w:t>
      </w:r>
      <w:r w:rsidR="00432FF6" w:rsidRPr="004C75E0">
        <w:rPr>
          <w:rFonts w:ascii="Times New Roman" w:hAnsi="Times New Roman" w:cs="Times New Roman"/>
          <w:sz w:val="24"/>
          <w:szCs w:val="24"/>
        </w:rPr>
        <w:t xml:space="preserve"> and at the turn of the century</w:t>
      </w:r>
      <w:r w:rsidR="00CC2144" w:rsidRPr="004C75E0">
        <w:rPr>
          <w:rFonts w:ascii="Times New Roman" w:hAnsi="Times New Roman" w:cs="Times New Roman"/>
          <w:sz w:val="24"/>
          <w:szCs w:val="24"/>
        </w:rPr>
        <w:t>, however, the national economy</w:t>
      </w:r>
      <w:r w:rsidRPr="004C75E0">
        <w:rPr>
          <w:rFonts w:ascii="Times New Roman" w:hAnsi="Times New Roman" w:cs="Times New Roman"/>
          <w:sz w:val="24"/>
          <w:szCs w:val="24"/>
        </w:rPr>
        <w:t xml:space="preserve"> began to pick</w:t>
      </w:r>
      <w:r w:rsidR="00CC2144" w:rsidRPr="004C75E0">
        <w:rPr>
          <w:rFonts w:ascii="Times New Roman" w:hAnsi="Times New Roman" w:cs="Times New Roman"/>
          <w:sz w:val="24"/>
          <w:szCs w:val="24"/>
        </w:rPr>
        <w:t xml:space="preserve"> up. This was assisted mainly by generally high copper prices in the world market</w:t>
      </w:r>
      <w:r w:rsidR="00432FF6" w:rsidRPr="004C75E0">
        <w:rPr>
          <w:rFonts w:ascii="Times New Roman" w:hAnsi="Times New Roman" w:cs="Times New Roman"/>
          <w:sz w:val="24"/>
          <w:szCs w:val="24"/>
        </w:rPr>
        <w:t xml:space="preserve">. </w:t>
      </w:r>
      <w:r w:rsidR="00432FF6" w:rsidRPr="004C75E0">
        <w:rPr>
          <w:rFonts w:ascii="Times New Roman" w:hAnsi="Times New Roman" w:cs="Times New Roman"/>
          <w:color w:val="000000"/>
          <w:sz w:val="24"/>
          <w:szCs w:val="24"/>
        </w:rPr>
        <w:t xml:space="preserve"> </w:t>
      </w:r>
      <w:r w:rsidR="00605B67" w:rsidRPr="004C75E0">
        <w:rPr>
          <w:rFonts w:ascii="Times New Roman" w:hAnsi="Times New Roman" w:cs="Times New Roman"/>
          <w:sz w:val="24"/>
          <w:szCs w:val="24"/>
        </w:rPr>
        <w:t>According to the World Bank (2012), total national income rose by more than 56 percent in the period 2002-2010 (based on 5.7 percent per annum real GDP growth for 2002-2010; and population growth averaging 2.8 percent per annum</w:t>
      </w:r>
      <w:r w:rsidR="00217580" w:rsidRPr="004C75E0">
        <w:rPr>
          <w:rFonts w:ascii="Times New Roman" w:hAnsi="Times New Roman" w:cs="Times New Roman"/>
          <w:sz w:val="24"/>
          <w:szCs w:val="24"/>
        </w:rPr>
        <w:t xml:space="preserve"> for the period 2000-2010</w:t>
      </w:r>
      <w:r w:rsidR="00605B67" w:rsidRPr="004C75E0">
        <w:rPr>
          <w:rFonts w:ascii="Times New Roman" w:hAnsi="Times New Roman" w:cs="Times New Roman"/>
          <w:sz w:val="24"/>
          <w:szCs w:val="24"/>
        </w:rPr>
        <w:t>). International Monetary Fund (IMF) data (October 2012) shows that per capita GDP incr</w:t>
      </w:r>
      <w:r w:rsidR="00217580" w:rsidRPr="004C75E0">
        <w:rPr>
          <w:rFonts w:ascii="Times New Roman" w:hAnsi="Times New Roman" w:cs="Times New Roman"/>
          <w:sz w:val="24"/>
          <w:szCs w:val="24"/>
        </w:rPr>
        <w:t>eased from about USD 890 in 2006 to USD</w:t>
      </w:r>
      <w:r w:rsidR="00605B67" w:rsidRPr="004C75E0">
        <w:rPr>
          <w:rFonts w:ascii="Times New Roman" w:hAnsi="Times New Roman" w:cs="Times New Roman"/>
          <w:sz w:val="24"/>
          <w:szCs w:val="24"/>
        </w:rPr>
        <w:t>1</w:t>
      </w:r>
      <w:r w:rsidR="00217580" w:rsidRPr="004C75E0">
        <w:rPr>
          <w:rFonts w:ascii="Times New Roman" w:hAnsi="Times New Roman" w:cs="Times New Roman"/>
          <w:sz w:val="24"/>
          <w:szCs w:val="24"/>
        </w:rPr>
        <w:t>, 221 in 2010. This value reached USD</w:t>
      </w:r>
      <w:r w:rsidR="00605B67" w:rsidRPr="004C75E0">
        <w:rPr>
          <w:rFonts w:ascii="Times New Roman" w:hAnsi="Times New Roman" w:cs="Times New Roman"/>
          <w:sz w:val="24"/>
          <w:szCs w:val="24"/>
        </w:rPr>
        <w:t>1,700 in 2014 and was estimated to</w:t>
      </w:r>
      <w:r w:rsidR="00217580" w:rsidRPr="004C75E0">
        <w:rPr>
          <w:rFonts w:ascii="Times New Roman" w:hAnsi="Times New Roman" w:cs="Times New Roman"/>
          <w:sz w:val="24"/>
          <w:szCs w:val="24"/>
        </w:rPr>
        <w:t xml:space="preserve"> reach about 1800 in 2015 save for</w:t>
      </w:r>
      <w:r w:rsidR="00605B67" w:rsidRPr="004C75E0">
        <w:rPr>
          <w:rFonts w:ascii="Times New Roman" w:hAnsi="Times New Roman" w:cs="Times New Roman"/>
          <w:sz w:val="24"/>
          <w:szCs w:val="24"/>
        </w:rPr>
        <w:t xml:space="preserve"> the global </w:t>
      </w:r>
      <w:r w:rsidR="00217580" w:rsidRPr="004C75E0">
        <w:rPr>
          <w:rFonts w:ascii="Times New Roman" w:hAnsi="Times New Roman" w:cs="Times New Roman"/>
          <w:sz w:val="24"/>
          <w:szCs w:val="24"/>
        </w:rPr>
        <w:t>macro</w:t>
      </w:r>
      <w:r w:rsidR="00605B67" w:rsidRPr="004C75E0">
        <w:rPr>
          <w:rFonts w:ascii="Times New Roman" w:hAnsi="Times New Roman" w:cs="Times New Roman"/>
          <w:sz w:val="24"/>
          <w:szCs w:val="24"/>
        </w:rPr>
        <w:t xml:space="preserve">economic shock that set </w:t>
      </w:r>
      <w:r w:rsidR="00217580" w:rsidRPr="004C75E0">
        <w:rPr>
          <w:rFonts w:ascii="Times New Roman" w:hAnsi="Times New Roman" w:cs="Times New Roman"/>
          <w:sz w:val="24"/>
          <w:szCs w:val="24"/>
        </w:rPr>
        <w:t xml:space="preserve">in towards the end of </w:t>
      </w:r>
      <w:r w:rsidR="00605B67" w:rsidRPr="004C75E0">
        <w:rPr>
          <w:rFonts w:ascii="Times New Roman" w:hAnsi="Times New Roman" w:cs="Times New Roman"/>
          <w:sz w:val="24"/>
          <w:szCs w:val="24"/>
        </w:rPr>
        <w:t>2014</w:t>
      </w:r>
      <w:r w:rsidR="004714AE" w:rsidRPr="004C75E0">
        <w:rPr>
          <w:rFonts w:ascii="Times New Roman" w:hAnsi="Times New Roman" w:cs="Times New Roman"/>
          <w:sz w:val="24"/>
          <w:szCs w:val="24"/>
        </w:rPr>
        <w:t xml:space="preserve"> (</w:t>
      </w:r>
      <w:r w:rsidR="00077D3C">
        <w:rPr>
          <w:rFonts w:ascii="Times New Roman" w:hAnsi="Times New Roman" w:cs="Times New Roman"/>
          <w:sz w:val="24"/>
          <w:szCs w:val="24"/>
        </w:rPr>
        <w:t>See Figure 2.1</w:t>
      </w:r>
      <w:r w:rsidR="00C81F13" w:rsidRPr="004C75E0">
        <w:rPr>
          <w:rFonts w:ascii="Times New Roman" w:hAnsi="Times New Roman" w:cs="Times New Roman"/>
          <w:sz w:val="24"/>
          <w:szCs w:val="24"/>
        </w:rPr>
        <w:t>)</w:t>
      </w:r>
      <w:r w:rsidR="00605B67" w:rsidRPr="004C75E0">
        <w:rPr>
          <w:rFonts w:ascii="Times New Roman" w:hAnsi="Times New Roman" w:cs="Times New Roman"/>
          <w:sz w:val="24"/>
          <w:szCs w:val="24"/>
        </w:rPr>
        <w:t>.</w:t>
      </w:r>
    </w:p>
    <w:p w14:paraId="4DA6A8EA" w14:textId="77777777" w:rsidR="00605B67" w:rsidRPr="004C75E0" w:rsidRDefault="00605B67" w:rsidP="00A60BD4">
      <w:pPr>
        <w:autoSpaceDE w:val="0"/>
        <w:autoSpaceDN w:val="0"/>
        <w:adjustRightInd w:val="0"/>
        <w:spacing w:after="0" w:line="360" w:lineRule="auto"/>
        <w:jc w:val="both"/>
        <w:rPr>
          <w:rFonts w:ascii="Times New Roman" w:hAnsi="Times New Roman" w:cs="Times New Roman"/>
          <w:sz w:val="24"/>
          <w:szCs w:val="24"/>
        </w:rPr>
      </w:pPr>
    </w:p>
    <w:p w14:paraId="0DAB0A27" w14:textId="77777777" w:rsidR="00605B67" w:rsidRPr="004C75E0" w:rsidRDefault="008A3D3D" w:rsidP="00A60BD4">
      <w:pPr>
        <w:spacing w:after="0" w:line="360" w:lineRule="auto"/>
        <w:jc w:val="both"/>
        <w:rPr>
          <w:rFonts w:ascii="Times New Roman" w:eastAsiaTheme="minorEastAsia" w:hAnsi="Times New Roman" w:cs="Times New Roman"/>
          <w:b/>
          <w:sz w:val="24"/>
          <w:szCs w:val="24"/>
          <w:lang w:eastAsia="en-GB"/>
        </w:rPr>
      </w:pPr>
      <w:r w:rsidRPr="004C75E0">
        <w:rPr>
          <w:rFonts w:ascii="Times New Roman" w:eastAsiaTheme="minorEastAsia" w:hAnsi="Times New Roman" w:cs="Times New Roman"/>
          <w:b/>
          <w:sz w:val="24"/>
          <w:szCs w:val="24"/>
          <w:lang w:eastAsia="en-GB"/>
        </w:rPr>
        <w:t>Figure 2.1</w:t>
      </w:r>
      <w:r w:rsidR="00605B67" w:rsidRPr="004C75E0">
        <w:rPr>
          <w:rFonts w:ascii="Times New Roman" w:eastAsiaTheme="minorEastAsia" w:hAnsi="Times New Roman" w:cs="Times New Roman"/>
          <w:b/>
          <w:sz w:val="24"/>
          <w:szCs w:val="24"/>
          <w:lang w:eastAsia="en-GB"/>
        </w:rPr>
        <w:t>: Annual GDP Growth and Inflation, 2000-2014</w:t>
      </w:r>
    </w:p>
    <w:p w14:paraId="75B13848" w14:textId="51545123" w:rsidR="00A052C2" w:rsidRPr="004C75E0" w:rsidRDefault="00605B67" w:rsidP="00A60BD4">
      <w:pPr>
        <w:spacing w:after="240" w:line="360" w:lineRule="auto"/>
        <w:jc w:val="both"/>
        <w:rPr>
          <w:rFonts w:ascii="Times New Roman" w:eastAsia="Times New Roman" w:hAnsi="Times New Roman" w:cs="Times New Roman"/>
          <w:sz w:val="24"/>
          <w:szCs w:val="24"/>
        </w:rPr>
      </w:pPr>
      <w:r w:rsidRPr="004C75E0">
        <w:rPr>
          <w:rFonts w:ascii="Times New Roman" w:hAnsi="Times New Roman" w:cs="Times New Roman"/>
          <w:noProof/>
          <w:sz w:val="24"/>
          <w:szCs w:val="24"/>
          <w:lang w:val="en-US"/>
        </w:rPr>
        <w:drawing>
          <wp:inline distT="0" distB="0" distL="0" distR="0" wp14:anchorId="560FF49B" wp14:editId="3D27C629">
            <wp:extent cx="5731510" cy="2838090"/>
            <wp:effectExtent l="0" t="0" r="2540" b="63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4C75E0">
        <w:rPr>
          <w:rFonts w:ascii="Times New Roman" w:eastAsia="Times New Roman" w:hAnsi="Times New Roman" w:cs="Times New Roman"/>
          <w:b/>
          <w:sz w:val="24"/>
          <w:szCs w:val="24"/>
          <w:u w:val="single"/>
        </w:rPr>
        <w:t>Source</w:t>
      </w:r>
      <w:r w:rsidRPr="004C75E0">
        <w:rPr>
          <w:rFonts w:ascii="Times New Roman" w:eastAsia="Times New Roman" w:hAnsi="Times New Roman" w:cs="Times New Roman"/>
          <w:sz w:val="24"/>
          <w:szCs w:val="24"/>
        </w:rPr>
        <w:t>: World Ban</w:t>
      </w:r>
      <w:r w:rsidR="008A3D3D" w:rsidRPr="004C75E0">
        <w:rPr>
          <w:rFonts w:ascii="Times New Roman" w:eastAsia="Times New Roman" w:hAnsi="Times New Roman" w:cs="Times New Roman"/>
          <w:sz w:val="24"/>
          <w:szCs w:val="24"/>
        </w:rPr>
        <w:t>k Development Indicators (2015)</w:t>
      </w:r>
    </w:p>
    <w:p w14:paraId="2AC91240" w14:textId="05CAD4DA" w:rsidR="00605B67" w:rsidRPr="004C75E0" w:rsidRDefault="004714AE" w:rsidP="00A60BD4">
      <w:pPr>
        <w:autoSpaceDE w:val="0"/>
        <w:autoSpaceDN w:val="0"/>
        <w:adjustRightInd w:val="0"/>
        <w:spacing w:after="0" w:line="360" w:lineRule="auto"/>
        <w:jc w:val="both"/>
        <w:rPr>
          <w:rFonts w:ascii="Times New Roman" w:hAnsi="Times New Roman" w:cs="Times New Roman"/>
          <w:b/>
        </w:rPr>
      </w:pPr>
      <w:r w:rsidRPr="004C75E0">
        <w:rPr>
          <w:rFonts w:ascii="Times New Roman" w:hAnsi="Times New Roman" w:cs="Times New Roman"/>
          <w:b/>
        </w:rPr>
        <w:t>Figure 2.2</w:t>
      </w:r>
      <w:r w:rsidR="00605B67" w:rsidRPr="004C75E0">
        <w:rPr>
          <w:rFonts w:ascii="Times New Roman" w:hAnsi="Times New Roman" w:cs="Times New Roman"/>
          <w:b/>
        </w:rPr>
        <w:t xml:space="preserve">: </w:t>
      </w:r>
      <w:r w:rsidR="00693A1C">
        <w:rPr>
          <w:rFonts w:ascii="Times New Roman" w:hAnsi="Times New Roman" w:cs="Times New Roman"/>
          <w:b/>
        </w:rPr>
        <w:t>GDP P</w:t>
      </w:r>
      <w:r w:rsidR="00217580" w:rsidRPr="004C75E0">
        <w:rPr>
          <w:rFonts w:ascii="Times New Roman" w:hAnsi="Times New Roman" w:cs="Times New Roman"/>
          <w:b/>
        </w:rPr>
        <w:t xml:space="preserve">er Capita (USD Current Prices), 2006- 2015 </w:t>
      </w:r>
    </w:p>
    <w:p w14:paraId="7ECDF0E5" w14:textId="77777777" w:rsidR="00605B67" w:rsidRPr="004C75E0" w:rsidRDefault="00605B67" w:rsidP="00A60BD4">
      <w:pPr>
        <w:autoSpaceDE w:val="0"/>
        <w:autoSpaceDN w:val="0"/>
        <w:adjustRightInd w:val="0"/>
        <w:spacing w:after="0" w:line="360" w:lineRule="auto"/>
        <w:jc w:val="both"/>
        <w:rPr>
          <w:rFonts w:ascii="Times New Roman" w:hAnsi="Times New Roman" w:cs="Times New Roman"/>
        </w:rPr>
      </w:pPr>
      <w:r w:rsidRPr="004C75E0">
        <w:rPr>
          <w:rFonts w:ascii="Times New Roman" w:hAnsi="Times New Roman" w:cs="Times New Roman"/>
          <w:noProof/>
          <w:lang w:val="en-US"/>
        </w:rPr>
        <w:drawing>
          <wp:inline distT="0" distB="0" distL="0" distR="0" wp14:anchorId="39E9E34B" wp14:editId="5CC18A43">
            <wp:extent cx="5534025" cy="2562046"/>
            <wp:effectExtent l="0" t="0" r="9525" b="1016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D9F849E" w14:textId="77777777" w:rsidR="00605B67" w:rsidRPr="004C75E0" w:rsidRDefault="00605B67" w:rsidP="00A60BD4">
      <w:pPr>
        <w:autoSpaceDE w:val="0"/>
        <w:autoSpaceDN w:val="0"/>
        <w:adjustRightInd w:val="0"/>
        <w:spacing w:after="0" w:line="360" w:lineRule="auto"/>
        <w:jc w:val="both"/>
        <w:rPr>
          <w:rFonts w:ascii="Times New Roman" w:hAnsi="Times New Roman" w:cs="Times New Roman"/>
        </w:rPr>
      </w:pPr>
      <w:r w:rsidRPr="004C75E0">
        <w:rPr>
          <w:rFonts w:ascii="Times New Roman" w:hAnsi="Times New Roman" w:cs="Times New Roman"/>
          <w:b/>
        </w:rPr>
        <w:t>Source</w:t>
      </w:r>
      <w:r w:rsidRPr="004C75E0">
        <w:rPr>
          <w:rFonts w:ascii="Times New Roman" w:hAnsi="Times New Roman" w:cs="Times New Roman"/>
        </w:rPr>
        <w:t>: IMF (2015)</w:t>
      </w:r>
    </w:p>
    <w:p w14:paraId="2BAF6BF4" w14:textId="77777777" w:rsidR="00EE5883" w:rsidRPr="004C75E0" w:rsidRDefault="00EE5883" w:rsidP="00A60BD4">
      <w:pPr>
        <w:autoSpaceDE w:val="0"/>
        <w:autoSpaceDN w:val="0"/>
        <w:adjustRightInd w:val="0"/>
        <w:spacing w:after="0" w:line="360" w:lineRule="auto"/>
        <w:jc w:val="both"/>
        <w:rPr>
          <w:rFonts w:ascii="Times New Roman" w:hAnsi="Times New Roman" w:cs="Times New Roman"/>
          <w:color w:val="000000"/>
          <w:sz w:val="24"/>
          <w:szCs w:val="24"/>
        </w:rPr>
      </w:pPr>
    </w:p>
    <w:p w14:paraId="03CD3F38" w14:textId="3CC7A86F" w:rsidR="00605B67" w:rsidRDefault="00486860"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color w:val="000000"/>
          <w:sz w:val="24"/>
          <w:szCs w:val="24"/>
        </w:rPr>
        <w:t xml:space="preserve">The growing economy, coupled with the implementation of </w:t>
      </w:r>
      <w:r w:rsidR="00C915A7">
        <w:rPr>
          <w:rFonts w:ascii="Times New Roman" w:hAnsi="Times New Roman" w:cs="Times New Roman"/>
          <w:color w:val="000000"/>
          <w:sz w:val="24"/>
          <w:szCs w:val="24"/>
        </w:rPr>
        <w:t xml:space="preserve">ambitious </w:t>
      </w:r>
      <w:r w:rsidRPr="004C75E0">
        <w:rPr>
          <w:rFonts w:ascii="Times New Roman" w:hAnsi="Times New Roman" w:cs="Times New Roman"/>
          <w:color w:val="000000"/>
          <w:sz w:val="24"/>
          <w:szCs w:val="24"/>
        </w:rPr>
        <w:t xml:space="preserve">education sector plans, (such as </w:t>
      </w:r>
      <w:r w:rsidR="00217580" w:rsidRPr="004C75E0">
        <w:rPr>
          <w:rFonts w:ascii="Times New Roman" w:hAnsi="Times New Roman" w:cs="Times New Roman"/>
          <w:color w:val="000000"/>
          <w:sz w:val="24"/>
          <w:szCs w:val="24"/>
        </w:rPr>
        <w:t xml:space="preserve">the </w:t>
      </w:r>
      <w:r w:rsidRPr="004C75E0">
        <w:rPr>
          <w:rFonts w:ascii="Times New Roman" w:hAnsi="Times New Roman" w:cs="Times New Roman"/>
          <w:color w:val="000000"/>
          <w:sz w:val="24"/>
          <w:szCs w:val="24"/>
        </w:rPr>
        <w:t>BESSIP and MoESP</w:t>
      </w:r>
      <w:r w:rsidR="008B6E28">
        <w:rPr>
          <w:rStyle w:val="FootnoteReference"/>
          <w:rFonts w:ascii="Times New Roman" w:hAnsi="Times New Roman" w:cs="Times New Roman"/>
          <w:color w:val="000000"/>
          <w:sz w:val="24"/>
          <w:szCs w:val="24"/>
        </w:rPr>
        <w:footnoteReference w:id="3"/>
      </w:r>
      <w:r w:rsidRPr="004C75E0">
        <w:rPr>
          <w:rFonts w:ascii="Times New Roman" w:hAnsi="Times New Roman" w:cs="Times New Roman"/>
          <w:color w:val="000000"/>
          <w:sz w:val="24"/>
          <w:szCs w:val="24"/>
        </w:rPr>
        <w:t xml:space="preserve">) galvanised resource flows into the education sector, leading to improved education provisioning. </w:t>
      </w:r>
      <w:r w:rsidR="008B6E28">
        <w:rPr>
          <w:rFonts w:ascii="Times New Roman" w:hAnsi="Times New Roman" w:cs="Times New Roman"/>
          <w:sz w:val="24"/>
          <w:szCs w:val="24"/>
        </w:rPr>
        <w:t xml:space="preserve">Thus, “while </w:t>
      </w:r>
      <w:r w:rsidRPr="004C75E0">
        <w:rPr>
          <w:rFonts w:ascii="Times New Roman" w:hAnsi="Times New Roman" w:cs="Times New Roman"/>
          <w:sz w:val="24"/>
          <w:szCs w:val="24"/>
        </w:rPr>
        <w:t>i</w:t>
      </w:r>
      <w:r w:rsidR="004714AE" w:rsidRPr="004C75E0">
        <w:rPr>
          <w:rFonts w:ascii="Times New Roman" w:hAnsi="Times New Roman" w:cs="Times New Roman"/>
          <w:sz w:val="24"/>
          <w:szCs w:val="24"/>
        </w:rPr>
        <w:t xml:space="preserve">n the 1990s, Zambia’s expenditure on education </w:t>
      </w:r>
      <w:r w:rsidR="00EE5883" w:rsidRPr="004C75E0">
        <w:rPr>
          <w:rFonts w:ascii="Times New Roman" w:hAnsi="Times New Roman" w:cs="Times New Roman"/>
          <w:sz w:val="24"/>
          <w:szCs w:val="24"/>
        </w:rPr>
        <w:t>was low, ranging between 2 percent and 2.5 percent</w:t>
      </w:r>
      <w:r w:rsidR="004714AE" w:rsidRPr="004C75E0">
        <w:rPr>
          <w:rFonts w:ascii="Times New Roman" w:hAnsi="Times New Roman" w:cs="Times New Roman"/>
          <w:sz w:val="24"/>
          <w:szCs w:val="24"/>
        </w:rPr>
        <w:t xml:space="preserve"> of GDP</w:t>
      </w:r>
      <w:r w:rsidRPr="004C75E0">
        <w:rPr>
          <w:rFonts w:ascii="Times New Roman" w:hAnsi="Times New Roman" w:cs="Times New Roman"/>
          <w:sz w:val="24"/>
          <w:szCs w:val="24"/>
        </w:rPr>
        <w:t xml:space="preserve">, the growing economy </w:t>
      </w:r>
      <w:r w:rsidR="008B6E28" w:rsidRPr="004C75E0">
        <w:rPr>
          <w:rFonts w:ascii="Times New Roman" w:hAnsi="Times New Roman" w:cs="Times New Roman"/>
          <w:sz w:val="24"/>
          <w:szCs w:val="24"/>
        </w:rPr>
        <w:t>after the</w:t>
      </w:r>
      <w:r w:rsidRPr="004C75E0">
        <w:rPr>
          <w:rFonts w:ascii="Times New Roman" w:hAnsi="Times New Roman" w:cs="Times New Roman"/>
          <w:sz w:val="24"/>
          <w:szCs w:val="24"/>
        </w:rPr>
        <w:t xml:space="preserve"> turn of the century enabled </w:t>
      </w:r>
      <w:r w:rsidR="00EE5883" w:rsidRPr="004C75E0">
        <w:rPr>
          <w:rFonts w:ascii="Times New Roman" w:hAnsi="Times New Roman" w:cs="Times New Roman"/>
          <w:sz w:val="24"/>
          <w:szCs w:val="24"/>
        </w:rPr>
        <w:t>the Fifth National Development Plan</w:t>
      </w:r>
      <w:r w:rsidRPr="004C75E0">
        <w:rPr>
          <w:rFonts w:ascii="Times New Roman" w:hAnsi="Times New Roman" w:cs="Times New Roman"/>
          <w:sz w:val="24"/>
          <w:szCs w:val="24"/>
        </w:rPr>
        <w:t xml:space="preserve"> </w:t>
      </w:r>
      <w:r w:rsidRPr="008B6E28">
        <w:rPr>
          <w:rFonts w:ascii="Times New Roman" w:hAnsi="Times New Roman" w:cs="Times New Roman"/>
          <w:sz w:val="24"/>
          <w:szCs w:val="24"/>
        </w:rPr>
        <w:t>(2006-2010)</w:t>
      </w:r>
      <w:r w:rsidR="00EE5883" w:rsidRPr="004C75E0">
        <w:rPr>
          <w:rFonts w:ascii="Times New Roman" w:hAnsi="Times New Roman" w:cs="Times New Roman"/>
          <w:sz w:val="24"/>
          <w:szCs w:val="24"/>
        </w:rPr>
        <w:t xml:space="preserve"> </w:t>
      </w:r>
      <w:r w:rsidRPr="004C75E0">
        <w:rPr>
          <w:rFonts w:ascii="Times New Roman" w:hAnsi="Times New Roman" w:cs="Times New Roman"/>
          <w:sz w:val="24"/>
          <w:szCs w:val="24"/>
        </w:rPr>
        <w:t xml:space="preserve">to </w:t>
      </w:r>
      <w:r w:rsidR="008B6E28">
        <w:rPr>
          <w:rFonts w:ascii="Times New Roman" w:hAnsi="Times New Roman" w:cs="Times New Roman"/>
          <w:sz w:val="24"/>
          <w:szCs w:val="24"/>
        </w:rPr>
        <w:t>recommend</w:t>
      </w:r>
      <w:r w:rsidR="00EE5883" w:rsidRPr="004C75E0">
        <w:rPr>
          <w:rFonts w:ascii="Times New Roman" w:hAnsi="Times New Roman" w:cs="Times New Roman"/>
          <w:sz w:val="24"/>
          <w:szCs w:val="24"/>
        </w:rPr>
        <w:t xml:space="preserve"> scaling up education spending </w:t>
      </w:r>
      <w:r w:rsidR="00C3620E" w:rsidRPr="004C75E0">
        <w:rPr>
          <w:rFonts w:ascii="Times New Roman" w:hAnsi="Times New Roman" w:cs="Times New Roman"/>
          <w:sz w:val="24"/>
          <w:szCs w:val="24"/>
        </w:rPr>
        <w:t>from 3.6</w:t>
      </w:r>
      <w:r w:rsidR="00EE5883" w:rsidRPr="004C75E0">
        <w:rPr>
          <w:rFonts w:ascii="Times New Roman" w:hAnsi="Times New Roman" w:cs="Times New Roman"/>
          <w:sz w:val="24"/>
          <w:szCs w:val="24"/>
        </w:rPr>
        <w:t xml:space="preserve"> percent of GDP in 2006 to 6.2 percent by 2010. While this </w:t>
      </w:r>
      <w:r w:rsidRPr="004C75E0">
        <w:rPr>
          <w:rFonts w:ascii="Times New Roman" w:hAnsi="Times New Roman" w:cs="Times New Roman"/>
          <w:sz w:val="24"/>
          <w:szCs w:val="24"/>
        </w:rPr>
        <w:t>target</w:t>
      </w:r>
      <w:r w:rsidR="00EE5883" w:rsidRPr="004C75E0">
        <w:rPr>
          <w:rFonts w:ascii="Times New Roman" w:hAnsi="Times New Roman" w:cs="Times New Roman"/>
          <w:sz w:val="24"/>
          <w:szCs w:val="24"/>
        </w:rPr>
        <w:t xml:space="preserve"> was not </w:t>
      </w:r>
      <w:r w:rsidRPr="004C75E0">
        <w:rPr>
          <w:rFonts w:ascii="Times New Roman" w:hAnsi="Times New Roman" w:cs="Times New Roman"/>
          <w:sz w:val="24"/>
          <w:szCs w:val="24"/>
        </w:rPr>
        <w:t>archived</w:t>
      </w:r>
      <w:r w:rsidR="00EE5883" w:rsidRPr="004C75E0">
        <w:rPr>
          <w:rFonts w:ascii="Times New Roman" w:hAnsi="Times New Roman" w:cs="Times New Roman"/>
          <w:sz w:val="24"/>
          <w:szCs w:val="24"/>
        </w:rPr>
        <w:t xml:space="preserve">, the trend in education expenditure as a component of GDP assumed an upward trend, rising from </w:t>
      </w:r>
      <w:r w:rsidRPr="004C75E0">
        <w:rPr>
          <w:rFonts w:ascii="Times New Roman" w:hAnsi="Times New Roman" w:cs="Times New Roman"/>
          <w:sz w:val="24"/>
          <w:szCs w:val="24"/>
        </w:rPr>
        <w:t>3.6 percent</w:t>
      </w:r>
      <w:r w:rsidR="00C3620E" w:rsidRPr="004C75E0">
        <w:rPr>
          <w:rFonts w:ascii="Times New Roman" w:hAnsi="Times New Roman" w:cs="Times New Roman"/>
          <w:sz w:val="24"/>
          <w:szCs w:val="24"/>
        </w:rPr>
        <w:t xml:space="preserve"> i</w:t>
      </w:r>
      <w:r w:rsidR="00EE5883" w:rsidRPr="004C75E0">
        <w:rPr>
          <w:rFonts w:ascii="Times New Roman" w:hAnsi="Times New Roman" w:cs="Times New Roman"/>
          <w:sz w:val="24"/>
          <w:szCs w:val="24"/>
        </w:rPr>
        <w:t>n 2006</w:t>
      </w:r>
      <w:r w:rsidR="00C3620E" w:rsidRPr="004C75E0">
        <w:rPr>
          <w:rFonts w:ascii="Times New Roman" w:hAnsi="Times New Roman" w:cs="Times New Roman"/>
          <w:sz w:val="24"/>
          <w:szCs w:val="24"/>
        </w:rPr>
        <w:t xml:space="preserve"> to </w:t>
      </w:r>
      <w:r w:rsidR="007E0C30" w:rsidRPr="007E0C30">
        <w:rPr>
          <w:rFonts w:ascii="Times New Roman" w:hAnsi="Times New Roman" w:cs="Times New Roman"/>
          <w:sz w:val="24"/>
          <w:szCs w:val="24"/>
        </w:rPr>
        <w:t xml:space="preserve">4.37 </w:t>
      </w:r>
      <w:r w:rsidR="007E0C30">
        <w:rPr>
          <w:rFonts w:ascii="Times New Roman" w:hAnsi="Times New Roman" w:cs="Times New Roman"/>
          <w:sz w:val="24"/>
          <w:szCs w:val="24"/>
        </w:rPr>
        <w:t xml:space="preserve">percent </w:t>
      </w:r>
      <w:r w:rsidR="00C3620E" w:rsidRPr="004C75E0">
        <w:rPr>
          <w:rFonts w:ascii="Times New Roman" w:hAnsi="Times New Roman" w:cs="Times New Roman"/>
          <w:sz w:val="24"/>
          <w:szCs w:val="24"/>
        </w:rPr>
        <w:t>in 2010</w:t>
      </w:r>
      <w:r w:rsidRPr="004C75E0">
        <w:rPr>
          <w:rFonts w:ascii="Times New Roman" w:hAnsi="Times New Roman" w:cs="Times New Roman"/>
          <w:sz w:val="24"/>
          <w:szCs w:val="24"/>
        </w:rPr>
        <w:t>, suggesting a strong association between economic factors and education provision in Zambia.</w:t>
      </w:r>
    </w:p>
    <w:p w14:paraId="73FEF712" w14:textId="77777777" w:rsidR="004C75E0" w:rsidRPr="004C75E0" w:rsidRDefault="004C75E0" w:rsidP="00A60BD4">
      <w:pPr>
        <w:autoSpaceDE w:val="0"/>
        <w:autoSpaceDN w:val="0"/>
        <w:adjustRightInd w:val="0"/>
        <w:spacing w:after="0" w:line="360" w:lineRule="auto"/>
        <w:jc w:val="both"/>
        <w:rPr>
          <w:rFonts w:ascii="Times New Roman" w:hAnsi="Times New Roman" w:cs="Times New Roman"/>
          <w:sz w:val="24"/>
          <w:szCs w:val="24"/>
        </w:rPr>
      </w:pPr>
    </w:p>
    <w:p w14:paraId="1759626E" w14:textId="2BE63782" w:rsidR="00605B67" w:rsidRPr="004C75E0" w:rsidRDefault="005F5CC9" w:rsidP="00A60BD4">
      <w:pPr>
        <w:keepNext/>
        <w:keepLines/>
        <w:spacing w:before="40" w:after="0" w:line="360" w:lineRule="auto"/>
        <w:outlineLvl w:val="1"/>
        <w:rPr>
          <w:rFonts w:ascii="Times New Roman" w:eastAsiaTheme="majorEastAsia" w:hAnsi="Times New Roman" w:cs="Times New Roman"/>
          <w:b/>
          <w:sz w:val="26"/>
          <w:szCs w:val="26"/>
        </w:rPr>
      </w:pPr>
      <w:bookmarkStart w:id="19" w:name="_Toc458687347"/>
      <w:r w:rsidRPr="004C75E0">
        <w:rPr>
          <w:rStyle w:val="Heading2Char"/>
          <w:rFonts w:ascii="Times New Roman" w:hAnsi="Times New Roman" w:cs="Times New Roman"/>
        </w:rPr>
        <w:t>2.3</w:t>
      </w:r>
      <w:r w:rsidRPr="004C75E0">
        <w:rPr>
          <w:rStyle w:val="Heading2Char"/>
          <w:rFonts w:ascii="Times New Roman" w:hAnsi="Times New Roman" w:cs="Times New Roman"/>
        </w:rPr>
        <w:tab/>
      </w:r>
      <w:r w:rsidR="00693A1C">
        <w:rPr>
          <w:rStyle w:val="Heading2Char"/>
          <w:rFonts w:ascii="Times New Roman" w:hAnsi="Times New Roman" w:cs="Times New Roman"/>
        </w:rPr>
        <w:t>Social F</w:t>
      </w:r>
      <w:r w:rsidR="00F425ED" w:rsidRPr="004C75E0">
        <w:rPr>
          <w:rStyle w:val="Heading2Char"/>
          <w:rFonts w:ascii="Times New Roman" w:hAnsi="Times New Roman" w:cs="Times New Roman"/>
        </w:rPr>
        <w:t>actors</w:t>
      </w:r>
      <w:bookmarkEnd w:id="19"/>
      <w:r w:rsidR="00F425ED" w:rsidRPr="004C75E0">
        <w:rPr>
          <w:rFonts w:ascii="Times New Roman" w:eastAsiaTheme="majorEastAsia" w:hAnsi="Times New Roman" w:cs="Times New Roman"/>
          <w:b/>
          <w:sz w:val="26"/>
          <w:szCs w:val="26"/>
        </w:rPr>
        <w:t xml:space="preserve"> </w:t>
      </w:r>
    </w:p>
    <w:p w14:paraId="5E02BC1D" w14:textId="290EF9BE" w:rsidR="007E0C30" w:rsidRDefault="00C437CD"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Social factors are another contextual reality that determine leaning outcomes in Zambia. These</w:t>
      </w:r>
      <w:r w:rsidR="007A09DE" w:rsidRPr="004C75E0">
        <w:rPr>
          <w:rFonts w:ascii="Times New Roman" w:hAnsi="Times New Roman" w:cs="Times New Roman"/>
          <w:sz w:val="24"/>
          <w:szCs w:val="24"/>
        </w:rPr>
        <w:t xml:space="preserve"> factors</w:t>
      </w:r>
      <w:r w:rsidRPr="004C75E0">
        <w:rPr>
          <w:rFonts w:ascii="Times New Roman" w:hAnsi="Times New Roman" w:cs="Times New Roman"/>
          <w:sz w:val="24"/>
          <w:szCs w:val="24"/>
        </w:rPr>
        <w:t xml:space="preserve"> range from the poverty phenomena to cultural </w:t>
      </w:r>
      <w:r w:rsidR="00612460" w:rsidRPr="004C75E0">
        <w:rPr>
          <w:rFonts w:ascii="Times New Roman" w:hAnsi="Times New Roman" w:cs="Times New Roman"/>
          <w:sz w:val="24"/>
          <w:szCs w:val="24"/>
        </w:rPr>
        <w:t>practices and gendered roles that alto</w:t>
      </w:r>
      <w:r w:rsidRPr="004C75E0">
        <w:rPr>
          <w:rFonts w:ascii="Times New Roman" w:hAnsi="Times New Roman" w:cs="Times New Roman"/>
          <w:sz w:val="24"/>
          <w:szCs w:val="24"/>
        </w:rPr>
        <w:t>gether combine, leading to</w:t>
      </w:r>
      <w:r w:rsidR="00612460" w:rsidRPr="004C75E0">
        <w:rPr>
          <w:rFonts w:ascii="Times New Roman" w:hAnsi="Times New Roman" w:cs="Times New Roman"/>
          <w:sz w:val="24"/>
          <w:szCs w:val="24"/>
        </w:rPr>
        <w:t xml:space="preserve"> </w:t>
      </w:r>
      <w:r w:rsidR="007A09DE" w:rsidRPr="004C75E0">
        <w:rPr>
          <w:rFonts w:ascii="Times New Roman" w:hAnsi="Times New Roman" w:cs="Times New Roman"/>
          <w:sz w:val="24"/>
          <w:szCs w:val="24"/>
        </w:rPr>
        <w:t>school achievement</w:t>
      </w:r>
      <w:r w:rsidR="00612460" w:rsidRPr="004C75E0">
        <w:rPr>
          <w:rFonts w:ascii="Times New Roman" w:hAnsi="Times New Roman" w:cs="Times New Roman"/>
          <w:sz w:val="24"/>
          <w:szCs w:val="24"/>
        </w:rPr>
        <w:t xml:space="preserve"> outcomes.</w:t>
      </w:r>
      <w:r w:rsidR="007A09DE" w:rsidRPr="004C75E0">
        <w:rPr>
          <w:rFonts w:ascii="Times New Roman" w:hAnsi="Times New Roman" w:cs="Times New Roman"/>
          <w:sz w:val="24"/>
          <w:szCs w:val="24"/>
        </w:rPr>
        <w:t xml:space="preserve"> A</w:t>
      </w:r>
      <w:r w:rsidR="00605B67" w:rsidRPr="004C75E0">
        <w:rPr>
          <w:rFonts w:ascii="Times New Roman" w:hAnsi="Times New Roman" w:cs="Times New Roman"/>
          <w:sz w:val="24"/>
          <w:szCs w:val="24"/>
        </w:rPr>
        <w:t xml:space="preserve">bject poverty remains the greatest challenge to </w:t>
      </w:r>
      <w:r w:rsidR="00612460" w:rsidRPr="004C75E0">
        <w:rPr>
          <w:rFonts w:ascii="Times New Roman" w:hAnsi="Times New Roman" w:cs="Times New Roman"/>
          <w:sz w:val="24"/>
          <w:szCs w:val="24"/>
        </w:rPr>
        <w:t xml:space="preserve">Zambia’s socio-economic </w:t>
      </w:r>
      <w:r w:rsidR="00605B67" w:rsidRPr="004C75E0">
        <w:rPr>
          <w:rFonts w:ascii="Times New Roman" w:hAnsi="Times New Roman" w:cs="Times New Roman"/>
          <w:sz w:val="24"/>
          <w:szCs w:val="24"/>
        </w:rPr>
        <w:t>development. According to</w:t>
      </w:r>
      <w:r w:rsidR="007A09DE" w:rsidRPr="004C75E0">
        <w:rPr>
          <w:rFonts w:ascii="Times New Roman" w:hAnsi="Times New Roman" w:cs="Times New Roman"/>
          <w:sz w:val="24"/>
          <w:szCs w:val="24"/>
        </w:rPr>
        <w:t xml:space="preserve"> the</w:t>
      </w:r>
      <w:r w:rsidR="00605B67" w:rsidRPr="004C75E0">
        <w:rPr>
          <w:rFonts w:ascii="Times New Roman" w:hAnsi="Times New Roman" w:cs="Times New Roman"/>
          <w:sz w:val="24"/>
          <w:szCs w:val="24"/>
        </w:rPr>
        <w:t xml:space="preserve"> 2010 L</w:t>
      </w:r>
      <w:r w:rsidR="007A09DE" w:rsidRPr="004C75E0">
        <w:rPr>
          <w:rFonts w:ascii="Times New Roman" w:hAnsi="Times New Roman" w:cs="Times New Roman"/>
          <w:sz w:val="24"/>
          <w:szCs w:val="24"/>
        </w:rPr>
        <w:t xml:space="preserve">iving </w:t>
      </w:r>
      <w:r w:rsidR="00605B67" w:rsidRPr="004C75E0">
        <w:rPr>
          <w:rFonts w:ascii="Times New Roman" w:hAnsi="Times New Roman" w:cs="Times New Roman"/>
          <w:sz w:val="24"/>
          <w:szCs w:val="24"/>
        </w:rPr>
        <w:t>C</w:t>
      </w:r>
      <w:r w:rsidR="007A09DE" w:rsidRPr="004C75E0">
        <w:rPr>
          <w:rFonts w:ascii="Times New Roman" w:hAnsi="Times New Roman" w:cs="Times New Roman"/>
          <w:sz w:val="24"/>
          <w:szCs w:val="24"/>
        </w:rPr>
        <w:t xml:space="preserve">onditions </w:t>
      </w:r>
      <w:r w:rsidR="00605B67" w:rsidRPr="004C75E0">
        <w:rPr>
          <w:rFonts w:ascii="Times New Roman" w:hAnsi="Times New Roman" w:cs="Times New Roman"/>
          <w:sz w:val="24"/>
          <w:szCs w:val="24"/>
        </w:rPr>
        <w:t>M</w:t>
      </w:r>
      <w:r w:rsidR="007A09DE" w:rsidRPr="004C75E0">
        <w:rPr>
          <w:rFonts w:ascii="Times New Roman" w:hAnsi="Times New Roman" w:cs="Times New Roman"/>
          <w:sz w:val="24"/>
          <w:szCs w:val="24"/>
        </w:rPr>
        <w:t>onitoring Survey (LCMS)</w:t>
      </w:r>
      <w:r w:rsidR="00605B67" w:rsidRPr="004C75E0">
        <w:rPr>
          <w:rFonts w:ascii="Times New Roman" w:hAnsi="Times New Roman" w:cs="Times New Roman"/>
          <w:sz w:val="24"/>
          <w:szCs w:val="24"/>
        </w:rPr>
        <w:t>, around 60 percent of the population in Zambia could be considered poor, subdivided into extremely poor (42 percent) and moderately poor (</w:t>
      </w:r>
      <w:r w:rsidR="007A09DE" w:rsidRPr="004C75E0">
        <w:rPr>
          <w:rFonts w:ascii="Times New Roman" w:hAnsi="Times New Roman" w:cs="Times New Roman"/>
          <w:sz w:val="24"/>
          <w:szCs w:val="24"/>
        </w:rPr>
        <w:t>18 percent). In absolute terms</w:t>
      </w:r>
      <w:r w:rsidR="00605B67" w:rsidRPr="004C75E0">
        <w:rPr>
          <w:rFonts w:ascii="Times New Roman" w:hAnsi="Times New Roman" w:cs="Times New Roman"/>
          <w:sz w:val="24"/>
          <w:szCs w:val="24"/>
        </w:rPr>
        <w:t>, 7.9 million peopl</w:t>
      </w:r>
      <w:r w:rsidR="00612460" w:rsidRPr="004C75E0">
        <w:rPr>
          <w:rFonts w:ascii="Times New Roman" w:hAnsi="Times New Roman" w:cs="Times New Roman"/>
          <w:sz w:val="24"/>
          <w:szCs w:val="24"/>
        </w:rPr>
        <w:t>e live</w:t>
      </w:r>
      <w:r w:rsidR="00605B67" w:rsidRPr="004C75E0">
        <w:rPr>
          <w:rFonts w:ascii="Times New Roman" w:hAnsi="Times New Roman" w:cs="Times New Roman"/>
          <w:sz w:val="24"/>
          <w:szCs w:val="24"/>
        </w:rPr>
        <w:t xml:space="preserve"> in poverty, with 5.5 million of those living in extreme poverty with insufficient resources to meet their daily minimum food requirements. Although poverty has declined marginally when co</w:t>
      </w:r>
      <w:r w:rsidR="00174581" w:rsidRPr="004C75E0">
        <w:rPr>
          <w:rFonts w:ascii="Times New Roman" w:hAnsi="Times New Roman" w:cs="Times New Roman"/>
          <w:sz w:val="24"/>
          <w:szCs w:val="24"/>
        </w:rPr>
        <w:t>mparing 2006 and 2010</w:t>
      </w:r>
      <w:r w:rsidR="00552BFA" w:rsidRPr="004C75E0">
        <w:rPr>
          <w:rFonts w:ascii="Times New Roman" w:hAnsi="Times New Roman" w:cs="Times New Roman"/>
          <w:sz w:val="24"/>
          <w:szCs w:val="24"/>
        </w:rPr>
        <w:t xml:space="preserve"> data</w:t>
      </w:r>
      <w:r w:rsidR="00174581" w:rsidRPr="004C75E0">
        <w:rPr>
          <w:rFonts w:ascii="Times New Roman" w:hAnsi="Times New Roman" w:cs="Times New Roman"/>
          <w:sz w:val="24"/>
          <w:szCs w:val="24"/>
        </w:rPr>
        <w:t xml:space="preserve"> (Figure 2.3</w:t>
      </w:r>
      <w:r w:rsidR="00552BFA" w:rsidRPr="004C75E0">
        <w:rPr>
          <w:rFonts w:ascii="Times New Roman" w:hAnsi="Times New Roman" w:cs="Times New Roman"/>
          <w:sz w:val="24"/>
          <w:szCs w:val="24"/>
        </w:rPr>
        <w:t>)</w:t>
      </w:r>
      <w:r w:rsidR="00605B67" w:rsidRPr="004C75E0">
        <w:rPr>
          <w:rFonts w:ascii="Times New Roman" w:hAnsi="Times New Roman" w:cs="Times New Roman"/>
          <w:sz w:val="24"/>
          <w:szCs w:val="24"/>
        </w:rPr>
        <w:t>, the absolute number of the poor has increased, from about 6 million in 1991 to 7.9 million in 2010 (UNICEF, 2014).</w:t>
      </w:r>
    </w:p>
    <w:p w14:paraId="3E8FC6D0" w14:textId="77777777" w:rsidR="00AB46AF" w:rsidRDefault="00AB46AF" w:rsidP="00A60BD4">
      <w:pPr>
        <w:autoSpaceDE w:val="0"/>
        <w:autoSpaceDN w:val="0"/>
        <w:adjustRightInd w:val="0"/>
        <w:spacing w:after="0" w:line="360" w:lineRule="auto"/>
        <w:jc w:val="both"/>
        <w:rPr>
          <w:rFonts w:ascii="Times New Roman" w:hAnsi="Times New Roman" w:cs="Times New Roman"/>
          <w:sz w:val="24"/>
          <w:szCs w:val="24"/>
        </w:rPr>
      </w:pPr>
    </w:p>
    <w:p w14:paraId="7FA0C6E5" w14:textId="77777777" w:rsidR="00693A1C" w:rsidRDefault="00693A1C" w:rsidP="00A60BD4">
      <w:pPr>
        <w:autoSpaceDE w:val="0"/>
        <w:autoSpaceDN w:val="0"/>
        <w:adjustRightInd w:val="0"/>
        <w:spacing w:after="0" w:line="360" w:lineRule="auto"/>
        <w:jc w:val="both"/>
        <w:rPr>
          <w:rFonts w:ascii="Times New Roman" w:hAnsi="Times New Roman" w:cs="Times New Roman"/>
          <w:sz w:val="24"/>
          <w:szCs w:val="24"/>
        </w:rPr>
      </w:pPr>
    </w:p>
    <w:p w14:paraId="55FB4982" w14:textId="77777777" w:rsidR="00693A1C" w:rsidRDefault="00693A1C" w:rsidP="00A60BD4">
      <w:pPr>
        <w:autoSpaceDE w:val="0"/>
        <w:autoSpaceDN w:val="0"/>
        <w:adjustRightInd w:val="0"/>
        <w:spacing w:after="0" w:line="360" w:lineRule="auto"/>
        <w:jc w:val="both"/>
        <w:rPr>
          <w:rFonts w:ascii="Times New Roman" w:hAnsi="Times New Roman" w:cs="Times New Roman"/>
          <w:sz w:val="24"/>
          <w:szCs w:val="24"/>
        </w:rPr>
      </w:pPr>
    </w:p>
    <w:p w14:paraId="243FE60E" w14:textId="77777777" w:rsidR="00693A1C" w:rsidRDefault="00693A1C" w:rsidP="00A60BD4">
      <w:pPr>
        <w:autoSpaceDE w:val="0"/>
        <w:autoSpaceDN w:val="0"/>
        <w:adjustRightInd w:val="0"/>
        <w:spacing w:after="0" w:line="360" w:lineRule="auto"/>
        <w:jc w:val="both"/>
        <w:rPr>
          <w:rFonts w:ascii="Times New Roman" w:hAnsi="Times New Roman" w:cs="Times New Roman"/>
          <w:sz w:val="24"/>
          <w:szCs w:val="24"/>
        </w:rPr>
      </w:pPr>
    </w:p>
    <w:p w14:paraId="42697B28" w14:textId="77777777" w:rsidR="00693A1C" w:rsidRDefault="00693A1C" w:rsidP="00A60BD4">
      <w:pPr>
        <w:autoSpaceDE w:val="0"/>
        <w:autoSpaceDN w:val="0"/>
        <w:adjustRightInd w:val="0"/>
        <w:spacing w:after="0" w:line="360" w:lineRule="auto"/>
        <w:jc w:val="both"/>
        <w:rPr>
          <w:rFonts w:ascii="Times New Roman" w:hAnsi="Times New Roman" w:cs="Times New Roman"/>
          <w:sz w:val="24"/>
          <w:szCs w:val="24"/>
        </w:rPr>
      </w:pPr>
    </w:p>
    <w:p w14:paraId="63A67FBA" w14:textId="77777777" w:rsidR="00693A1C" w:rsidRDefault="00693A1C" w:rsidP="00A60BD4">
      <w:pPr>
        <w:autoSpaceDE w:val="0"/>
        <w:autoSpaceDN w:val="0"/>
        <w:adjustRightInd w:val="0"/>
        <w:spacing w:after="0" w:line="360" w:lineRule="auto"/>
        <w:jc w:val="both"/>
        <w:rPr>
          <w:rFonts w:ascii="Times New Roman" w:hAnsi="Times New Roman" w:cs="Times New Roman"/>
          <w:sz w:val="24"/>
          <w:szCs w:val="24"/>
        </w:rPr>
      </w:pPr>
    </w:p>
    <w:p w14:paraId="057EE661" w14:textId="77777777" w:rsidR="00693A1C" w:rsidRDefault="00693A1C" w:rsidP="00A60BD4">
      <w:pPr>
        <w:autoSpaceDE w:val="0"/>
        <w:autoSpaceDN w:val="0"/>
        <w:adjustRightInd w:val="0"/>
        <w:spacing w:after="0" w:line="360" w:lineRule="auto"/>
        <w:jc w:val="both"/>
        <w:rPr>
          <w:rFonts w:ascii="Times New Roman" w:hAnsi="Times New Roman" w:cs="Times New Roman"/>
          <w:sz w:val="24"/>
          <w:szCs w:val="24"/>
        </w:rPr>
      </w:pPr>
    </w:p>
    <w:p w14:paraId="7058C89D" w14:textId="77777777" w:rsidR="00693A1C" w:rsidRDefault="00693A1C" w:rsidP="00A60BD4">
      <w:pPr>
        <w:autoSpaceDE w:val="0"/>
        <w:autoSpaceDN w:val="0"/>
        <w:adjustRightInd w:val="0"/>
        <w:spacing w:after="0" w:line="360" w:lineRule="auto"/>
        <w:jc w:val="both"/>
        <w:rPr>
          <w:rFonts w:ascii="Times New Roman" w:hAnsi="Times New Roman" w:cs="Times New Roman"/>
          <w:sz w:val="24"/>
          <w:szCs w:val="24"/>
        </w:rPr>
      </w:pPr>
    </w:p>
    <w:p w14:paraId="3C4A8790" w14:textId="30607622" w:rsidR="00605B67" w:rsidRPr="008B6E28" w:rsidRDefault="008B6E28" w:rsidP="00A60BD4">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74581" w:rsidRPr="004C75E0">
        <w:rPr>
          <w:rFonts w:ascii="Times New Roman" w:hAnsi="Times New Roman" w:cs="Times New Roman"/>
          <w:b/>
          <w:sz w:val="24"/>
          <w:szCs w:val="24"/>
        </w:rPr>
        <w:t>Figure 2.3</w:t>
      </w:r>
      <w:r w:rsidR="00693A1C">
        <w:rPr>
          <w:rFonts w:ascii="Times New Roman" w:hAnsi="Times New Roman" w:cs="Times New Roman"/>
          <w:b/>
          <w:sz w:val="24"/>
          <w:szCs w:val="24"/>
        </w:rPr>
        <w:t>: Changes in Poverty L</w:t>
      </w:r>
      <w:r w:rsidR="00605B67" w:rsidRPr="004C75E0">
        <w:rPr>
          <w:rFonts w:ascii="Times New Roman" w:hAnsi="Times New Roman" w:cs="Times New Roman"/>
          <w:b/>
          <w:sz w:val="24"/>
          <w:szCs w:val="24"/>
        </w:rPr>
        <w:t>evels</w:t>
      </w:r>
      <w:r w:rsidR="00693A1C">
        <w:rPr>
          <w:rFonts w:ascii="Times New Roman" w:hAnsi="Times New Roman" w:cs="Times New Roman"/>
          <w:b/>
          <w:sz w:val="24"/>
          <w:szCs w:val="24"/>
        </w:rPr>
        <w:t>,</w:t>
      </w:r>
      <w:r w:rsidR="00605B67" w:rsidRPr="004C75E0">
        <w:rPr>
          <w:rFonts w:ascii="Times New Roman" w:hAnsi="Times New Roman" w:cs="Times New Roman"/>
          <w:b/>
          <w:sz w:val="24"/>
          <w:szCs w:val="24"/>
        </w:rPr>
        <w:t xml:space="preserve"> 2006-2010 (%)</w:t>
      </w:r>
    </w:p>
    <w:p w14:paraId="123F81B2" w14:textId="77777777" w:rsidR="00605B67" w:rsidRPr="004C75E0" w:rsidRDefault="00605B67"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noProof/>
          <w:lang w:val="en-US"/>
        </w:rPr>
        <w:drawing>
          <wp:inline distT="0" distB="0" distL="0" distR="0" wp14:anchorId="07E21A43" wp14:editId="081641BA">
            <wp:extent cx="5429250" cy="188595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95F5019" w14:textId="77777777" w:rsidR="00605B67" w:rsidRPr="004C75E0" w:rsidRDefault="00605B67"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b/>
          <w:sz w:val="24"/>
          <w:szCs w:val="24"/>
        </w:rPr>
        <w:t>Source</w:t>
      </w:r>
      <w:r w:rsidRPr="004C75E0">
        <w:rPr>
          <w:rFonts w:ascii="Times New Roman" w:hAnsi="Times New Roman" w:cs="Times New Roman"/>
          <w:sz w:val="24"/>
          <w:szCs w:val="24"/>
        </w:rPr>
        <w:t>: CSO (2012)</w:t>
      </w:r>
    </w:p>
    <w:p w14:paraId="48909F08" w14:textId="77777777" w:rsidR="008B6E28" w:rsidRDefault="008B6E28" w:rsidP="00A60BD4">
      <w:pPr>
        <w:autoSpaceDE w:val="0"/>
        <w:autoSpaceDN w:val="0"/>
        <w:adjustRightInd w:val="0"/>
        <w:spacing w:after="0" w:line="360" w:lineRule="auto"/>
        <w:jc w:val="both"/>
        <w:rPr>
          <w:rFonts w:ascii="Times New Roman" w:hAnsi="Times New Roman" w:cs="Times New Roman"/>
          <w:sz w:val="24"/>
          <w:szCs w:val="24"/>
        </w:rPr>
      </w:pPr>
    </w:p>
    <w:p w14:paraId="6F31C87A" w14:textId="02F9C0ED" w:rsidR="00605B67" w:rsidRDefault="001E67AB" w:rsidP="00A60BD4">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I</w:t>
      </w:r>
      <w:r w:rsidR="00605B67" w:rsidRPr="004C75E0">
        <w:rPr>
          <w:rFonts w:ascii="Times New Roman" w:hAnsi="Times New Roman" w:cs="Times New Roman"/>
          <w:sz w:val="24"/>
          <w:szCs w:val="24"/>
        </w:rPr>
        <w:t>n general terms, (i) 84 percent of the poor population lives in rural areas; and (ii) 89 percent of the extremely poor are located i</w:t>
      </w:r>
      <w:r w:rsidR="00174581" w:rsidRPr="004C75E0">
        <w:rPr>
          <w:rFonts w:ascii="Times New Roman" w:hAnsi="Times New Roman" w:cs="Times New Roman"/>
          <w:sz w:val="24"/>
          <w:szCs w:val="24"/>
        </w:rPr>
        <w:t>n rural areas as well (Figure 2.4</w:t>
      </w:r>
      <w:r w:rsidR="00605B67" w:rsidRPr="004C75E0">
        <w:rPr>
          <w:rFonts w:ascii="Times New Roman" w:hAnsi="Times New Roman" w:cs="Times New Roman"/>
          <w:sz w:val="24"/>
          <w:szCs w:val="24"/>
        </w:rPr>
        <w:t>).</w:t>
      </w:r>
    </w:p>
    <w:p w14:paraId="4B760EDC" w14:textId="77777777" w:rsidR="007E0C30" w:rsidRPr="004C75E0" w:rsidRDefault="007E0C30" w:rsidP="00A60BD4">
      <w:pPr>
        <w:autoSpaceDE w:val="0"/>
        <w:autoSpaceDN w:val="0"/>
        <w:adjustRightInd w:val="0"/>
        <w:spacing w:after="0" w:line="360" w:lineRule="auto"/>
        <w:jc w:val="both"/>
        <w:rPr>
          <w:rFonts w:ascii="Times New Roman" w:hAnsi="Times New Roman" w:cs="Times New Roman"/>
          <w:sz w:val="24"/>
          <w:szCs w:val="24"/>
        </w:rPr>
      </w:pPr>
    </w:p>
    <w:p w14:paraId="63E4D09A" w14:textId="51904456" w:rsidR="00605B67" w:rsidRPr="004C75E0" w:rsidRDefault="00174581" w:rsidP="00A60BD4">
      <w:pPr>
        <w:autoSpaceDE w:val="0"/>
        <w:autoSpaceDN w:val="0"/>
        <w:adjustRightInd w:val="0"/>
        <w:spacing w:after="0" w:line="360" w:lineRule="auto"/>
        <w:jc w:val="both"/>
        <w:rPr>
          <w:rFonts w:ascii="Times New Roman" w:hAnsi="Times New Roman" w:cs="Times New Roman"/>
          <w:b/>
          <w:sz w:val="24"/>
          <w:szCs w:val="24"/>
        </w:rPr>
      </w:pPr>
      <w:r w:rsidRPr="004C75E0">
        <w:rPr>
          <w:rFonts w:ascii="Times New Roman" w:hAnsi="Times New Roman" w:cs="Times New Roman"/>
          <w:b/>
          <w:sz w:val="24"/>
          <w:szCs w:val="24"/>
        </w:rPr>
        <w:t>Figure 2.4</w:t>
      </w:r>
      <w:r w:rsidR="00693A1C">
        <w:rPr>
          <w:rFonts w:ascii="Times New Roman" w:hAnsi="Times New Roman" w:cs="Times New Roman"/>
          <w:b/>
          <w:sz w:val="24"/>
          <w:szCs w:val="24"/>
        </w:rPr>
        <w:t>: Poverty Distribution Between Urban and Rural A</w:t>
      </w:r>
      <w:r w:rsidR="00605B67" w:rsidRPr="004C75E0">
        <w:rPr>
          <w:rFonts w:ascii="Times New Roman" w:hAnsi="Times New Roman" w:cs="Times New Roman"/>
          <w:b/>
          <w:sz w:val="24"/>
          <w:szCs w:val="24"/>
        </w:rPr>
        <w:t>reas in Zambia, 2010 (%)</w:t>
      </w:r>
    </w:p>
    <w:p w14:paraId="5C238D85" w14:textId="77777777" w:rsidR="00605B67" w:rsidRPr="004C75E0" w:rsidRDefault="00605B67"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noProof/>
          <w:lang w:val="en-US"/>
        </w:rPr>
        <w:drawing>
          <wp:inline distT="0" distB="0" distL="0" distR="0" wp14:anchorId="58E437B0" wp14:editId="463940D7">
            <wp:extent cx="5731510" cy="1619250"/>
            <wp:effectExtent l="0" t="0" r="254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AF8FE88" w14:textId="77777777" w:rsidR="00605B67" w:rsidRPr="004C75E0" w:rsidRDefault="00605B67"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b/>
          <w:sz w:val="24"/>
          <w:szCs w:val="24"/>
        </w:rPr>
        <w:t>Source</w:t>
      </w:r>
      <w:r w:rsidRPr="004C75E0">
        <w:rPr>
          <w:rFonts w:ascii="Times New Roman" w:hAnsi="Times New Roman" w:cs="Times New Roman"/>
          <w:sz w:val="24"/>
          <w:szCs w:val="24"/>
        </w:rPr>
        <w:t>: Authors calculations, based on CSO (2012)</w:t>
      </w:r>
    </w:p>
    <w:p w14:paraId="1813D243" w14:textId="77777777" w:rsidR="007E0C30" w:rsidRDefault="007E0C30" w:rsidP="00A60BD4">
      <w:pPr>
        <w:spacing w:after="240" w:line="360" w:lineRule="auto"/>
        <w:jc w:val="both"/>
        <w:rPr>
          <w:rFonts w:ascii="Times New Roman" w:hAnsi="Times New Roman" w:cs="Times New Roman"/>
          <w:sz w:val="24"/>
          <w:szCs w:val="24"/>
        </w:rPr>
      </w:pPr>
    </w:p>
    <w:p w14:paraId="1D4991BB" w14:textId="156D2AE8" w:rsidR="00605B67" w:rsidRDefault="007E0C30" w:rsidP="00A60BD4">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P</w:t>
      </w:r>
      <w:r w:rsidR="00605B67" w:rsidRPr="004C75E0">
        <w:rPr>
          <w:rFonts w:ascii="Times New Roman" w:hAnsi="Times New Roman" w:cs="Times New Roman"/>
          <w:sz w:val="24"/>
          <w:szCs w:val="24"/>
        </w:rPr>
        <w:t>overty head count in urban areas dropped from 56 per cent in 1998 to 53 percent in 2004 and further to 29.7 percent in 2006 and 27.5 percent in 2010, rural poverty remained high, even though it marginally dropped from 83 percent in 1998 to 77.9 per</w:t>
      </w:r>
      <w:r w:rsidR="00174581" w:rsidRPr="004C75E0">
        <w:rPr>
          <w:rFonts w:ascii="Times New Roman" w:hAnsi="Times New Roman" w:cs="Times New Roman"/>
          <w:sz w:val="24"/>
          <w:szCs w:val="24"/>
        </w:rPr>
        <w:t>cent in 2010 (Figure 2.5</w:t>
      </w:r>
      <w:r w:rsidR="00AC1BA7" w:rsidRPr="004C75E0">
        <w:rPr>
          <w:rFonts w:ascii="Times New Roman" w:hAnsi="Times New Roman" w:cs="Times New Roman"/>
          <w:sz w:val="24"/>
          <w:szCs w:val="24"/>
        </w:rPr>
        <w:t xml:space="preserve"> below).</w:t>
      </w:r>
    </w:p>
    <w:p w14:paraId="2CCAFCC5" w14:textId="77777777" w:rsidR="00AB46AF" w:rsidRDefault="00AB46AF" w:rsidP="00A60BD4">
      <w:pPr>
        <w:spacing w:after="240" w:line="360" w:lineRule="auto"/>
        <w:jc w:val="both"/>
        <w:rPr>
          <w:rFonts w:ascii="Times New Roman" w:hAnsi="Times New Roman" w:cs="Times New Roman"/>
          <w:sz w:val="24"/>
          <w:szCs w:val="24"/>
        </w:rPr>
      </w:pPr>
    </w:p>
    <w:p w14:paraId="024FD7EE" w14:textId="77777777" w:rsidR="00AB46AF" w:rsidRDefault="00AB46AF" w:rsidP="00A60BD4">
      <w:pPr>
        <w:spacing w:after="240" w:line="360" w:lineRule="auto"/>
        <w:jc w:val="both"/>
        <w:rPr>
          <w:rFonts w:ascii="Times New Roman" w:hAnsi="Times New Roman" w:cs="Times New Roman"/>
          <w:sz w:val="24"/>
          <w:szCs w:val="24"/>
        </w:rPr>
      </w:pPr>
    </w:p>
    <w:p w14:paraId="4C1B6814" w14:textId="77777777" w:rsidR="00AB46AF" w:rsidRDefault="00AB46AF" w:rsidP="00A60BD4">
      <w:pPr>
        <w:spacing w:after="240" w:line="360" w:lineRule="auto"/>
        <w:jc w:val="both"/>
        <w:rPr>
          <w:rFonts w:ascii="Times New Roman" w:hAnsi="Times New Roman" w:cs="Times New Roman"/>
          <w:sz w:val="24"/>
          <w:szCs w:val="24"/>
        </w:rPr>
      </w:pPr>
    </w:p>
    <w:p w14:paraId="52749DF6" w14:textId="77777777" w:rsidR="00AB46AF" w:rsidRPr="004C75E0" w:rsidRDefault="00AB46AF" w:rsidP="00A60BD4">
      <w:pPr>
        <w:spacing w:after="240" w:line="360" w:lineRule="auto"/>
        <w:jc w:val="both"/>
        <w:rPr>
          <w:rFonts w:ascii="Times New Roman" w:hAnsi="Times New Roman" w:cs="Times New Roman"/>
          <w:sz w:val="24"/>
          <w:szCs w:val="24"/>
        </w:rPr>
      </w:pPr>
    </w:p>
    <w:p w14:paraId="2A68831C" w14:textId="32EBAAF7" w:rsidR="00605B67" w:rsidRPr="004C75E0" w:rsidRDefault="00605B67" w:rsidP="00A60BD4">
      <w:pPr>
        <w:spacing w:after="0" w:line="360" w:lineRule="auto"/>
        <w:jc w:val="both"/>
        <w:rPr>
          <w:rFonts w:ascii="Times New Roman" w:eastAsia="Times New Roman" w:hAnsi="Times New Roman" w:cs="Times New Roman"/>
          <w:b/>
          <w:bCs/>
          <w:sz w:val="24"/>
          <w:szCs w:val="24"/>
        </w:rPr>
      </w:pPr>
      <w:r w:rsidRPr="004C75E0">
        <w:rPr>
          <w:rFonts w:ascii="Times New Roman" w:eastAsia="Times New Roman" w:hAnsi="Times New Roman" w:cs="Times New Roman"/>
          <w:b/>
          <w:bCs/>
          <w:sz w:val="24"/>
          <w:szCs w:val="24"/>
        </w:rPr>
        <w:t>Figure 2</w:t>
      </w:r>
      <w:r w:rsidR="00174581" w:rsidRPr="004C75E0">
        <w:rPr>
          <w:rFonts w:ascii="Times New Roman" w:eastAsia="Times New Roman" w:hAnsi="Times New Roman" w:cs="Times New Roman"/>
          <w:b/>
          <w:bCs/>
          <w:sz w:val="24"/>
          <w:szCs w:val="24"/>
        </w:rPr>
        <w:t>.5</w:t>
      </w:r>
      <w:r w:rsidR="00693A1C">
        <w:rPr>
          <w:rFonts w:ascii="Times New Roman" w:eastAsia="Times New Roman" w:hAnsi="Times New Roman" w:cs="Times New Roman"/>
          <w:b/>
          <w:bCs/>
          <w:sz w:val="24"/>
          <w:szCs w:val="24"/>
        </w:rPr>
        <w:t>: Poverty T</w:t>
      </w:r>
      <w:r w:rsidRPr="004C75E0">
        <w:rPr>
          <w:rFonts w:ascii="Times New Roman" w:eastAsia="Times New Roman" w:hAnsi="Times New Roman" w:cs="Times New Roman"/>
          <w:b/>
          <w:bCs/>
          <w:sz w:val="24"/>
          <w:szCs w:val="24"/>
        </w:rPr>
        <w:t xml:space="preserve">rends in </w:t>
      </w:r>
      <w:r w:rsidR="00CA0544" w:rsidRPr="004C75E0">
        <w:rPr>
          <w:rFonts w:ascii="Times New Roman" w:eastAsia="Times New Roman" w:hAnsi="Times New Roman" w:cs="Times New Roman"/>
          <w:b/>
          <w:bCs/>
          <w:sz w:val="24"/>
          <w:szCs w:val="24"/>
        </w:rPr>
        <w:t>Zambia, 1998-2010, (%</w:t>
      </w:r>
      <w:r w:rsidR="00693A1C">
        <w:rPr>
          <w:rFonts w:ascii="Times New Roman" w:eastAsia="Times New Roman" w:hAnsi="Times New Roman" w:cs="Times New Roman"/>
          <w:b/>
          <w:bCs/>
          <w:sz w:val="24"/>
          <w:szCs w:val="24"/>
        </w:rPr>
        <w:t xml:space="preserve"> of Total P</w:t>
      </w:r>
      <w:r w:rsidRPr="004C75E0">
        <w:rPr>
          <w:rFonts w:ascii="Times New Roman" w:eastAsia="Times New Roman" w:hAnsi="Times New Roman" w:cs="Times New Roman"/>
          <w:b/>
          <w:bCs/>
          <w:sz w:val="24"/>
          <w:szCs w:val="24"/>
        </w:rPr>
        <w:t>opulation)</w:t>
      </w:r>
    </w:p>
    <w:p w14:paraId="067A8A4A" w14:textId="77777777" w:rsidR="00605B67" w:rsidRPr="004C75E0" w:rsidRDefault="00605B67" w:rsidP="00A60BD4">
      <w:pPr>
        <w:spacing w:after="0" w:line="360" w:lineRule="auto"/>
        <w:jc w:val="both"/>
        <w:rPr>
          <w:rFonts w:ascii="Times New Roman" w:eastAsia="Times New Roman" w:hAnsi="Times New Roman" w:cs="Times New Roman"/>
          <w:sz w:val="24"/>
          <w:szCs w:val="24"/>
        </w:rPr>
      </w:pPr>
      <w:r w:rsidRPr="004C75E0">
        <w:rPr>
          <w:rFonts w:ascii="Times New Roman" w:eastAsia="Times New Roman" w:hAnsi="Times New Roman" w:cs="Times New Roman"/>
          <w:noProof/>
          <w:sz w:val="24"/>
          <w:szCs w:val="24"/>
          <w:lang w:val="en-US"/>
        </w:rPr>
        <w:drawing>
          <wp:inline distT="0" distB="0" distL="0" distR="0" wp14:anchorId="1D795325" wp14:editId="52778084">
            <wp:extent cx="5731510" cy="1752600"/>
            <wp:effectExtent l="0" t="0" r="254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4C75E0">
        <w:rPr>
          <w:rFonts w:ascii="Times New Roman" w:eastAsia="Times New Roman" w:hAnsi="Times New Roman" w:cs="Times New Roman"/>
          <w:b/>
          <w:bCs/>
          <w:sz w:val="24"/>
          <w:szCs w:val="24"/>
        </w:rPr>
        <w:t>Source</w:t>
      </w:r>
      <w:r w:rsidRPr="004C75E0">
        <w:rPr>
          <w:rFonts w:ascii="Times New Roman" w:eastAsia="Times New Roman" w:hAnsi="Times New Roman" w:cs="Times New Roman"/>
          <w:sz w:val="24"/>
          <w:szCs w:val="24"/>
        </w:rPr>
        <w:t>: CSO (2012).</w:t>
      </w:r>
    </w:p>
    <w:p w14:paraId="2617E671" w14:textId="77777777" w:rsidR="004C75E0" w:rsidRDefault="004C75E0" w:rsidP="00A60BD4">
      <w:pPr>
        <w:autoSpaceDE w:val="0"/>
        <w:autoSpaceDN w:val="0"/>
        <w:adjustRightInd w:val="0"/>
        <w:spacing w:after="0" w:line="360" w:lineRule="auto"/>
        <w:jc w:val="both"/>
        <w:rPr>
          <w:rFonts w:ascii="Times New Roman" w:hAnsi="Times New Roman" w:cs="Times New Roman"/>
          <w:sz w:val="24"/>
          <w:szCs w:val="24"/>
        </w:rPr>
      </w:pPr>
    </w:p>
    <w:p w14:paraId="7DF0414F" w14:textId="77777777" w:rsidR="00605B67" w:rsidRPr="004C75E0" w:rsidRDefault="00605B67"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The World Bank has calculated the dollar values for poverty in rural and urban Zambia (World Bank, 2012). In 2010, an extremely poor person in Zambia would</w:t>
      </w:r>
      <w:r w:rsidR="004F65A6" w:rsidRPr="004C75E0">
        <w:rPr>
          <w:rFonts w:ascii="Times New Roman" w:hAnsi="Times New Roman" w:cs="Times New Roman"/>
          <w:sz w:val="24"/>
          <w:szCs w:val="24"/>
        </w:rPr>
        <w:t xml:space="preserve"> live with the equivalent of USD 0.68 a day, or USD</w:t>
      </w:r>
      <w:r w:rsidRPr="004C75E0">
        <w:rPr>
          <w:rFonts w:ascii="Times New Roman" w:hAnsi="Times New Roman" w:cs="Times New Roman"/>
          <w:sz w:val="24"/>
          <w:szCs w:val="24"/>
        </w:rPr>
        <w:t xml:space="preserve"> 20.52 a month. A poor person in a rural area would</w:t>
      </w:r>
      <w:r w:rsidR="004F65A6" w:rsidRPr="004C75E0">
        <w:rPr>
          <w:rFonts w:ascii="Times New Roman" w:hAnsi="Times New Roman" w:cs="Times New Roman"/>
          <w:sz w:val="24"/>
          <w:szCs w:val="24"/>
        </w:rPr>
        <w:t xml:space="preserve"> live with the equivalent of USD</w:t>
      </w:r>
      <w:r w:rsidRPr="004C75E0">
        <w:rPr>
          <w:rFonts w:ascii="Times New Roman" w:hAnsi="Times New Roman" w:cs="Times New Roman"/>
          <w:sz w:val="24"/>
          <w:szCs w:val="24"/>
        </w:rPr>
        <w:t xml:space="preserve"> 1.0</w:t>
      </w:r>
      <w:r w:rsidR="004F65A6" w:rsidRPr="004C75E0">
        <w:rPr>
          <w:rFonts w:ascii="Times New Roman" w:hAnsi="Times New Roman" w:cs="Times New Roman"/>
          <w:sz w:val="24"/>
          <w:szCs w:val="24"/>
        </w:rPr>
        <w:t>1 daily (USD</w:t>
      </w:r>
      <w:r w:rsidRPr="004C75E0">
        <w:rPr>
          <w:rFonts w:ascii="Times New Roman" w:hAnsi="Times New Roman" w:cs="Times New Roman"/>
          <w:sz w:val="24"/>
          <w:szCs w:val="24"/>
        </w:rPr>
        <w:t xml:space="preserve"> 30.43 monthly); in an urban area, the</w:t>
      </w:r>
      <w:r w:rsidR="004F65A6" w:rsidRPr="004C75E0">
        <w:rPr>
          <w:rFonts w:ascii="Times New Roman" w:hAnsi="Times New Roman" w:cs="Times New Roman"/>
          <w:sz w:val="24"/>
          <w:szCs w:val="24"/>
        </w:rPr>
        <w:t xml:space="preserve"> poor person would live with USD 1.25 daily, or USD</w:t>
      </w:r>
      <w:r w:rsidRPr="004C75E0">
        <w:rPr>
          <w:rFonts w:ascii="Times New Roman" w:hAnsi="Times New Roman" w:cs="Times New Roman"/>
          <w:sz w:val="24"/>
          <w:szCs w:val="24"/>
        </w:rPr>
        <w:t xml:space="preserve"> 37.61 monthly.</w:t>
      </w:r>
      <w:r w:rsidR="00E04E8D" w:rsidRPr="004C75E0">
        <w:rPr>
          <w:rFonts w:ascii="Times New Roman" w:hAnsi="Times New Roman" w:cs="Times New Roman"/>
          <w:sz w:val="24"/>
          <w:szCs w:val="24"/>
        </w:rPr>
        <w:t xml:space="preserve"> For poor households,</w:t>
      </w:r>
      <w:r w:rsidR="00CA0544" w:rsidRPr="004C75E0">
        <w:rPr>
          <w:rFonts w:ascii="Times New Roman" w:hAnsi="Times New Roman" w:cs="Times New Roman"/>
          <w:sz w:val="24"/>
          <w:szCs w:val="24"/>
        </w:rPr>
        <w:t xml:space="preserve"> however</w:t>
      </w:r>
      <w:r w:rsidR="00E04E8D" w:rsidRPr="004C75E0">
        <w:rPr>
          <w:rFonts w:ascii="Times New Roman" w:hAnsi="Times New Roman" w:cs="Times New Roman"/>
          <w:sz w:val="24"/>
          <w:szCs w:val="24"/>
        </w:rPr>
        <w:t>, intra-household allocation of scarce resources often imply a trade-off of education expenditure for matte</w:t>
      </w:r>
      <w:r w:rsidR="00CA0544" w:rsidRPr="004C75E0">
        <w:rPr>
          <w:rFonts w:ascii="Times New Roman" w:hAnsi="Times New Roman" w:cs="Times New Roman"/>
          <w:sz w:val="24"/>
          <w:szCs w:val="24"/>
        </w:rPr>
        <w:t>rs of immediate family survival- mainly food security.</w:t>
      </w:r>
    </w:p>
    <w:p w14:paraId="05065FC0" w14:textId="77777777" w:rsidR="00E91907" w:rsidRPr="004C75E0" w:rsidRDefault="00E91907" w:rsidP="00A60BD4">
      <w:pPr>
        <w:autoSpaceDE w:val="0"/>
        <w:autoSpaceDN w:val="0"/>
        <w:adjustRightInd w:val="0"/>
        <w:spacing w:after="0" w:line="360" w:lineRule="auto"/>
        <w:jc w:val="both"/>
        <w:rPr>
          <w:rFonts w:ascii="Times New Roman" w:hAnsi="Times New Roman" w:cs="Times New Roman"/>
          <w:color w:val="000000"/>
        </w:rPr>
      </w:pPr>
    </w:p>
    <w:p w14:paraId="6093F987" w14:textId="77777777" w:rsidR="00611637" w:rsidRPr="004C75E0" w:rsidRDefault="007A09DE" w:rsidP="00A60BD4">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 xml:space="preserve">Of the total child population in Zambia, 4.6 million children and adolescents lived in poverty in 2010, representing 65 percent of that population. Around 46 percent of children and adolescents live in extreme poverty. </w:t>
      </w:r>
      <w:r w:rsidR="004F65A6" w:rsidRPr="004C75E0">
        <w:rPr>
          <w:rFonts w:ascii="Times New Roman" w:hAnsi="Times New Roman" w:cs="Times New Roman"/>
          <w:sz w:val="24"/>
          <w:szCs w:val="24"/>
        </w:rPr>
        <w:t>The bottom line is clear -</w:t>
      </w:r>
      <w:r w:rsidR="00E91907" w:rsidRPr="004C75E0">
        <w:rPr>
          <w:rFonts w:ascii="Times New Roman" w:hAnsi="Times New Roman" w:cs="Times New Roman"/>
          <w:sz w:val="24"/>
          <w:szCs w:val="24"/>
        </w:rPr>
        <w:t xml:space="preserve"> </w:t>
      </w:r>
      <w:r w:rsidRPr="004C75E0">
        <w:rPr>
          <w:rFonts w:ascii="Times New Roman" w:hAnsi="Times New Roman" w:cs="Times New Roman"/>
          <w:sz w:val="24"/>
          <w:szCs w:val="24"/>
        </w:rPr>
        <w:t>a</w:t>
      </w:r>
      <w:r w:rsidR="004F65A6" w:rsidRPr="004C75E0">
        <w:rPr>
          <w:rFonts w:ascii="Times New Roman" w:hAnsi="Times New Roman" w:cs="Times New Roman"/>
          <w:sz w:val="24"/>
          <w:szCs w:val="24"/>
        </w:rPr>
        <w:t>cross all age groups, the proportion and absolute number of children of school going age (0-18 years old) living in poverty is much higher than for any other age group.</w:t>
      </w:r>
      <w:r w:rsidRPr="004C75E0">
        <w:rPr>
          <w:rFonts w:ascii="Times New Roman" w:hAnsi="Times New Roman" w:cs="Times New Roman"/>
          <w:sz w:val="24"/>
          <w:szCs w:val="24"/>
        </w:rPr>
        <w:t xml:space="preserve"> </w:t>
      </w:r>
      <w:r w:rsidR="004F65A6" w:rsidRPr="004C75E0">
        <w:rPr>
          <w:rFonts w:ascii="Times New Roman" w:hAnsi="Times New Roman" w:cs="Times New Roman"/>
          <w:sz w:val="24"/>
          <w:szCs w:val="24"/>
        </w:rPr>
        <w:t>Incidentally, child poverty is</w:t>
      </w:r>
      <w:r w:rsidRPr="004C75E0">
        <w:rPr>
          <w:rFonts w:ascii="Times New Roman" w:hAnsi="Times New Roman" w:cs="Times New Roman"/>
          <w:sz w:val="24"/>
          <w:szCs w:val="24"/>
        </w:rPr>
        <w:t xml:space="preserve"> also</w:t>
      </w:r>
      <w:r w:rsidR="004F65A6" w:rsidRPr="004C75E0">
        <w:rPr>
          <w:rFonts w:ascii="Times New Roman" w:hAnsi="Times New Roman" w:cs="Times New Roman"/>
          <w:sz w:val="24"/>
          <w:szCs w:val="24"/>
        </w:rPr>
        <w:t xml:space="preserve"> predominantly rural: 85 percent of poor children live in rural areas (around 3.89 million children). In comparing the 0-18 age group with the whole population living in poverty, children represent 58 percent of the latter. In terms of extreme poverty, 59 percent of all people living in that condition in 2010 were children.</w:t>
      </w:r>
      <w:r w:rsidR="00611637" w:rsidRPr="004C75E0">
        <w:rPr>
          <w:rFonts w:ascii="Times New Roman" w:hAnsi="Times New Roman" w:cs="Times New Roman"/>
          <w:sz w:val="24"/>
          <w:szCs w:val="24"/>
        </w:rPr>
        <w:t xml:space="preserve"> </w:t>
      </w:r>
      <w:r w:rsidRPr="004C75E0">
        <w:rPr>
          <w:rFonts w:ascii="Times New Roman" w:hAnsi="Times New Roman" w:cs="Times New Roman"/>
          <w:sz w:val="24"/>
          <w:szCs w:val="24"/>
        </w:rPr>
        <w:t>UNICEF (2014)</w:t>
      </w:r>
      <w:r w:rsidR="00611637" w:rsidRPr="004C75E0">
        <w:rPr>
          <w:rFonts w:ascii="Times New Roman" w:hAnsi="Times New Roman" w:cs="Times New Roman"/>
          <w:sz w:val="24"/>
          <w:szCs w:val="24"/>
        </w:rPr>
        <w:t xml:space="preserve"> summarises the relationship between </w:t>
      </w:r>
      <w:r w:rsidR="004F65A6" w:rsidRPr="004C75E0">
        <w:rPr>
          <w:rFonts w:ascii="Times New Roman" w:hAnsi="Times New Roman" w:cs="Times New Roman"/>
          <w:sz w:val="24"/>
          <w:szCs w:val="24"/>
        </w:rPr>
        <w:t>child poverty</w:t>
      </w:r>
      <w:r w:rsidR="00611637" w:rsidRPr="004C75E0">
        <w:rPr>
          <w:rFonts w:ascii="Times New Roman" w:hAnsi="Times New Roman" w:cs="Times New Roman"/>
          <w:sz w:val="24"/>
          <w:szCs w:val="24"/>
        </w:rPr>
        <w:t xml:space="preserve"> and education in</w:t>
      </w:r>
      <w:r w:rsidR="004F65A6" w:rsidRPr="004C75E0">
        <w:rPr>
          <w:rFonts w:ascii="Times New Roman" w:hAnsi="Times New Roman" w:cs="Times New Roman"/>
          <w:sz w:val="24"/>
          <w:szCs w:val="24"/>
        </w:rPr>
        <w:t xml:space="preserve"> Zambia </w:t>
      </w:r>
      <w:r w:rsidR="00611637" w:rsidRPr="004C75E0">
        <w:rPr>
          <w:rFonts w:ascii="Times New Roman" w:hAnsi="Times New Roman" w:cs="Times New Roman"/>
          <w:sz w:val="24"/>
          <w:szCs w:val="24"/>
        </w:rPr>
        <w:t>as follows</w:t>
      </w:r>
      <w:r w:rsidR="004F65A6" w:rsidRPr="004C75E0">
        <w:rPr>
          <w:rFonts w:ascii="Times New Roman" w:hAnsi="Times New Roman" w:cs="Times New Roman"/>
          <w:sz w:val="24"/>
          <w:szCs w:val="24"/>
        </w:rPr>
        <w:t>:</w:t>
      </w:r>
    </w:p>
    <w:p w14:paraId="27D89366" w14:textId="77777777" w:rsidR="004F65A6" w:rsidRPr="004C75E0" w:rsidRDefault="00E91907" w:rsidP="00A60BD4">
      <w:pPr>
        <w:pStyle w:val="ListParagraph"/>
        <w:numPr>
          <w:ilvl w:val="0"/>
          <w:numId w:val="11"/>
        </w:num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their parents have no or only primary education;</w:t>
      </w:r>
    </w:p>
    <w:p w14:paraId="3A9B845A" w14:textId="77777777" w:rsidR="004F65A6" w:rsidRPr="004C75E0" w:rsidRDefault="004F65A6" w:rsidP="00A60BD4">
      <w:pPr>
        <w:pStyle w:val="ListParagraph"/>
        <w:numPr>
          <w:ilvl w:val="0"/>
          <w:numId w:val="11"/>
        </w:num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 xml:space="preserve"> </w:t>
      </w:r>
      <w:r w:rsidR="00E91907" w:rsidRPr="004C75E0">
        <w:rPr>
          <w:rFonts w:ascii="Times New Roman" w:hAnsi="Times New Roman" w:cs="Times New Roman"/>
          <w:sz w:val="24"/>
          <w:szCs w:val="24"/>
        </w:rPr>
        <w:t xml:space="preserve">they live mainly in rural areas – although poverty has become evident in urban areas as well; </w:t>
      </w:r>
    </w:p>
    <w:p w14:paraId="7B31316E" w14:textId="77777777" w:rsidR="004F65A6" w:rsidRPr="004C75E0" w:rsidRDefault="00E91907" w:rsidP="00A60BD4">
      <w:pPr>
        <w:pStyle w:val="ListParagraph"/>
        <w:numPr>
          <w:ilvl w:val="0"/>
          <w:numId w:val="11"/>
        </w:num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 xml:space="preserve">their household has no safe drinking water or proper sanitation, and no electricity; </w:t>
      </w:r>
    </w:p>
    <w:p w14:paraId="294246C4" w14:textId="77777777" w:rsidR="004F65A6" w:rsidRPr="004C75E0" w:rsidRDefault="00E91907" w:rsidP="00A60BD4">
      <w:pPr>
        <w:pStyle w:val="ListParagraph"/>
        <w:numPr>
          <w:ilvl w:val="0"/>
          <w:numId w:val="11"/>
        </w:num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they like</w:t>
      </w:r>
      <w:r w:rsidR="004F65A6" w:rsidRPr="004C75E0">
        <w:rPr>
          <w:rFonts w:ascii="Times New Roman" w:hAnsi="Times New Roman" w:cs="Times New Roman"/>
          <w:sz w:val="24"/>
          <w:szCs w:val="24"/>
        </w:rPr>
        <w:t>ly suffer from malnutrition;</w:t>
      </w:r>
    </w:p>
    <w:p w14:paraId="6EA1A624" w14:textId="77777777" w:rsidR="004F65A6" w:rsidRPr="004C75E0" w:rsidRDefault="004F65A6" w:rsidP="00A60BD4">
      <w:pPr>
        <w:pStyle w:val="ListParagraph"/>
        <w:numPr>
          <w:ilvl w:val="0"/>
          <w:numId w:val="11"/>
        </w:num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 xml:space="preserve"> </w:t>
      </w:r>
      <w:r w:rsidR="00E91907" w:rsidRPr="004C75E0">
        <w:rPr>
          <w:rFonts w:ascii="Times New Roman" w:hAnsi="Times New Roman" w:cs="Times New Roman"/>
          <w:sz w:val="24"/>
          <w:szCs w:val="24"/>
        </w:rPr>
        <w:t xml:space="preserve">they have limited access to quality and affordable education services, </w:t>
      </w:r>
    </w:p>
    <w:p w14:paraId="4A6FA438" w14:textId="77777777" w:rsidR="004F65A6" w:rsidRPr="004C75E0" w:rsidRDefault="004F65A6" w:rsidP="00A60BD4">
      <w:pPr>
        <w:pStyle w:val="ListParagraph"/>
        <w:numPr>
          <w:ilvl w:val="0"/>
          <w:numId w:val="11"/>
        </w:num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T</w:t>
      </w:r>
      <w:r w:rsidR="00E91907" w:rsidRPr="004C75E0">
        <w:rPr>
          <w:rFonts w:ascii="Times New Roman" w:hAnsi="Times New Roman" w:cs="Times New Roman"/>
          <w:sz w:val="24"/>
          <w:szCs w:val="24"/>
        </w:rPr>
        <w:t>hey are more likely to enter school late, and, if they do, they are more likely to drop out before completing secondary education,</w:t>
      </w:r>
      <w:r w:rsidRPr="004C75E0">
        <w:rPr>
          <w:rFonts w:ascii="Times New Roman" w:hAnsi="Times New Roman" w:cs="Times New Roman"/>
          <w:sz w:val="24"/>
          <w:szCs w:val="24"/>
        </w:rPr>
        <w:t xml:space="preserve"> and</w:t>
      </w:r>
      <w:r w:rsidR="00E91907" w:rsidRPr="004C75E0">
        <w:rPr>
          <w:rFonts w:ascii="Times New Roman" w:hAnsi="Times New Roman" w:cs="Times New Roman"/>
          <w:sz w:val="24"/>
          <w:szCs w:val="24"/>
        </w:rPr>
        <w:t xml:space="preserve"> </w:t>
      </w:r>
    </w:p>
    <w:p w14:paraId="37FBDCF9" w14:textId="77777777" w:rsidR="00DE17BB" w:rsidRPr="004C75E0" w:rsidRDefault="00E91907" w:rsidP="00A60BD4">
      <w:pPr>
        <w:pStyle w:val="ListParagraph"/>
        <w:numPr>
          <w:ilvl w:val="0"/>
          <w:numId w:val="11"/>
        </w:num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 xml:space="preserve"> </w:t>
      </w:r>
      <w:r w:rsidR="00DE17BB" w:rsidRPr="004C75E0">
        <w:rPr>
          <w:rFonts w:ascii="Times New Roman" w:hAnsi="Times New Roman" w:cs="Times New Roman"/>
          <w:sz w:val="24"/>
          <w:szCs w:val="24"/>
        </w:rPr>
        <w:t>I</w:t>
      </w:r>
      <w:r w:rsidRPr="004C75E0">
        <w:rPr>
          <w:rFonts w:ascii="Times New Roman" w:hAnsi="Times New Roman" w:cs="Times New Roman"/>
          <w:sz w:val="24"/>
          <w:szCs w:val="24"/>
        </w:rPr>
        <w:t>f the poor child is a girl, there is a high chance she will have sexual intercourse with an old</w:t>
      </w:r>
      <w:r w:rsidR="00DE17BB" w:rsidRPr="004C75E0">
        <w:rPr>
          <w:rFonts w:ascii="Times New Roman" w:hAnsi="Times New Roman" w:cs="Times New Roman"/>
          <w:sz w:val="24"/>
          <w:szCs w:val="24"/>
        </w:rPr>
        <w:t>er man when she reaches puberty:</w:t>
      </w:r>
    </w:p>
    <w:p w14:paraId="5459141F" w14:textId="77777777" w:rsidR="00DE17BB" w:rsidRPr="004C75E0" w:rsidRDefault="00E91907" w:rsidP="00A60BD4">
      <w:pPr>
        <w:pStyle w:val="ListParagraph"/>
        <w:numPr>
          <w:ilvl w:val="1"/>
          <w:numId w:val="11"/>
        </w:num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 xml:space="preserve"> She might also get pregnant and drop out of school at around 14 or 15 years old. </w:t>
      </w:r>
    </w:p>
    <w:p w14:paraId="7865D707" w14:textId="77777777" w:rsidR="00E91907" w:rsidRPr="004C75E0" w:rsidRDefault="00E91907" w:rsidP="00A60BD4">
      <w:pPr>
        <w:pStyle w:val="ListParagraph"/>
        <w:numPr>
          <w:ilvl w:val="1"/>
          <w:numId w:val="11"/>
        </w:num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She may be given a chance to re-enter but the pressure to take care of her new born is too high. As such, poverty in Zambia is transmitted from generation to generation.</w:t>
      </w:r>
    </w:p>
    <w:p w14:paraId="75F72BB7" w14:textId="77777777" w:rsidR="004C75E0" w:rsidRDefault="00EF1AEC" w:rsidP="004C75E0">
      <w:pPr>
        <w:autoSpaceDE w:val="0"/>
        <w:autoSpaceDN w:val="0"/>
        <w:adjustRightInd w:val="0"/>
        <w:spacing w:after="0" w:line="360" w:lineRule="auto"/>
        <w:jc w:val="both"/>
        <w:rPr>
          <w:rFonts w:ascii="Times New Roman" w:hAnsi="Times New Roman" w:cs="Times New Roman"/>
          <w:color w:val="000000"/>
          <w:sz w:val="24"/>
          <w:szCs w:val="24"/>
        </w:rPr>
      </w:pPr>
      <w:r w:rsidRPr="004C75E0">
        <w:rPr>
          <w:rFonts w:ascii="Times New Roman" w:hAnsi="Times New Roman" w:cs="Times New Roman"/>
          <w:color w:val="000000"/>
          <w:sz w:val="24"/>
          <w:szCs w:val="24"/>
        </w:rPr>
        <w:t>There is, therefore a clear relationship between poverty and school achievement in Zambia that urges</w:t>
      </w:r>
      <w:r w:rsidR="00B84A25" w:rsidRPr="004C75E0">
        <w:rPr>
          <w:rFonts w:ascii="Times New Roman" w:hAnsi="Times New Roman" w:cs="Times New Roman"/>
          <w:color w:val="000000"/>
          <w:sz w:val="24"/>
          <w:szCs w:val="24"/>
        </w:rPr>
        <w:t xml:space="preserve"> for a more</w:t>
      </w:r>
      <w:r w:rsidRPr="004C75E0">
        <w:rPr>
          <w:rFonts w:ascii="Times New Roman" w:hAnsi="Times New Roman" w:cs="Times New Roman"/>
          <w:color w:val="000000"/>
          <w:sz w:val="24"/>
          <w:szCs w:val="24"/>
        </w:rPr>
        <w:t xml:space="preserve"> sustained and comprehensive policy response.</w:t>
      </w:r>
      <w:r w:rsidR="00174581" w:rsidRPr="004C75E0">
        <w:rPr>
          <w:rFonts w:ascii="Times New Roman" w:hAnsi="Times New Roman" w:cs="Times New Roman"/>
          <w:color w:val="000000"/>
          <w:sz w:val="24"/>
          <w:szCs w:val="24"/>
        </w:rPr>
        <w:t xml:space="preserve"> Other socio-cultural factors that influence school achievement in Zambia include traditional view of gender roles, physical and psychological violence against the girl child, and early marriages (See UNICEF, 2014 for a detailed discussion of these factors).</w:t>
      </w:r>
      <w:r w:rsidR="008B6E28">
        <w:rPr>
          <w:rFonts w:ascii="Times New Roman" w:hAnsi="Times New Roman" w:cs="Times New Roman"/>
          <w:color w:val="000000"/>
          <w:sz w:val="24"/>
          <w:szCs w:val="24"/>
        </w:rPr>
        <w:t xml:space="preserve"> Altogether, these </w:t>
      </w:r>
      <w:r w:rsidR="00974FF0">
        <w:rPr>
          <w:rFonts w:ascii="Times New Roman" w:hAnsi="Times New Roman" w:cs="Times New Roman"/>
          <w:color w:val="000000"/>
          <w:sz w:val="24"/>
          <w:szCs w:val="24"/>
        </w:rPr>
        <w:t xml:space="preserve">social factors </w:t>
      </w:r>
      <w:r w:rsidR="008B6E28">
        <w:rPr>
          <w:rFonts w:ascii="Times New Roman" w:hAnsi="Times New Roman" w:cs="Times New Roman"/>
          <w:color w:val="000000"/>
          <w:sz w:val="24"/>
          <w:szCs w:val="24"/>
        </w:rPr>
        <w:t xml:space="preserve">combine leading to </w:t>
      </w:r>
      <w:r w:rsidR="00974FF0">
        <w:rPr>
          <w:rFonts w:ascii="Times New Roman" w:hAnsi="Times New Roman" w:cs="Times New Roman"/>
          <w:color w:val="000000"/>
          <w:sz w:val="24"/>
          <w:szCs w:val="24"/>
        </w:rPr>
        <w:t>substantial influence on learner outco</w:t>
      </w:r>
      <w:r w:rsidR="008B6E28">
        <w:rPr>
          <w:rFonts w:ascii="Times New Roman" w:hAnsi="Times New Roman" w:cs="Times New Roman"/>
          <w:color w:val="000000"/>
          <w:sz w:val="24"/>
          <w:szCs w:val="24"/>
        </w:rPr>
        <w:t xml:space="preserve">mes. </w:t>
      </w:r>
    </w:p>
    <w:p w14:paraId="5EDCB6EA" w14:textId="77777777" w:rsidR="00AB46AF"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546212F6" w14:textId="77777777" w:rsidR="00AB46AF"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517E4D0B" w14:textId="77777777" w:rsidR="00AB46AF"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755E8B7D" w14:textId="77777777" w:rsidR="00AB46AF"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471A3B36" w14:textId="77777777" w:rsidR="00AB46AF"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545E69BF" w14:textId="77777777" w:rsidR="00AB46AF"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450BAA24" w14:textId="77777777" w:rsidR="00AB46AF"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6B8AF42D" w14:textId="77777777" w:rsidR="00AB46AF"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4CC65F07" w14:textId="77777777" w:rsidR="00AB46AF"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713872F8" w14:textId="77777777" w:rsidR="00AB46AF"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1D9F95B9" w14:textId="77777777" w:rsidR="00AB46AF"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0E3F96FA" w14:textId="77777777" w:rsidR="00AB46AF"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388FB436" w14:textId="77777777" w:rsidR="00AB46AF"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7C0148B7" w14:textId="77777777" w:rsidR="00AB46AF" w:rsidRPr="004C75E0" w:rsidRDefault="00AB46AF" w:rsidP="004C75E0">
      <w:pPr>
        <w:autoSpaceDE w:val="0"/>
        <w:autoSpaceDN w:val="0"/>
        <w:adjustRightInd w:val="0"/>
        <w:spacing w:after="0" w:line="360" w:lineRule="auto"/>
        <w:jc w:val="both"/>
        <w:rPr>
          <w:rFonts w:ascii="Times New Roman" w:hAnsi="Times New Roman" w:cs="Times New Roman"/>
          <w:color w:val="000000"/>
          <w:sz w:val="24"/>
          <w:szCs w:val="24"/>
        </w:rPr>
      </w:pPr>
    </w:p>
    <w:p w14:paraId="2654F535" w14:textId="535AB396" w:rsidR="00081EE8" w:rsidRPr="004C75E0" w:rsidRDefault="001A40D8" w:rsidP="00A60BD4">
      <w:pPr>
        <w:pStyle w:val="Heading1"/>
        <w:spacing w:line="360" w:lineRule="auto"/>
        <w:rPr>
          <w:rFonts w:ascii="Times New Roman" w:hAnsi="Times New Roman" w:cs="Times New Roman"/>
        </w:rPr>
      </w:pPr>
      <w:bookmarkStart w:id="20" w:name="_Toc458687348"/>
      <w:r w:rsidRPr="004C75E0">
        <w:rPr>
          <w:rFonts w:ascii="Times New Roman" w:hAnsi="Times New Roman" w:cs="Times New Roman"/>
        </w:rPr>
        <w:t>3</w:t>
      </w:r>
      <w:r w:rsidR="00CB26A5" w:rsidRPr="004C75E0">
        <w:rPr>
          <w:rFonts w:ascii="Times New Roman" w:hAnsi="Times New Roman" w:cs="Times New Roman"/>
        </w:rPr>
        <w:t xml:space="preserve">.0: </w:t>
      </w:r>
      <w:r w:rsidR="00291B12">
        <w:rPr>
          <w:rFonts w:ascii="Times New Roman" w:hAnsi="Times New Roman" w:cs="Times New Roman"/>
        </w:rPr>
        <w:t>Understanding G</w:t>
      </w:r>
      <w:r w:rsidR="006D7FB2" w:rsidRPr="004C75E0">
        <w:rPr>
          <w:rFonts w:ascii="Times New Roman" w:hAnsi="Times New Roman" w:cs="Times New Roman"/>
        </w:rPr>
        <w:t xml:space="preserve">aps in the </w:t>
      </w:r>
      <w:r w:rsidR="00426F40" w:rsidRPr="004C75E0">
        <w:rPr>
          <w:rFonts w:ascii="Times New Roman" w:hAnsi="Times New Roman" w:cs="Times New Roman"/>
        </w:rPr>
        <w:t>S</w:t>
      </w:r>
      <w:r w:rsidR="00703DDD" w:rsidRPr="004C75E0">
        <w:rPr>
          <w:rFonts w:ascii="Times New Roman" w:hAnsi="Times New Roman" w:cs="Times New Roman"/>
        </w:rPr>
        <w:t xml:space="preserve">ituation of </w:t>
      </w:r>
      <w:r w:rsidR="00426F40" w:rsidRPr="004C75E0">
        <w:rPr>
          <w:rFonts w:ascii="Times New Roman" w:hAnsi="Times New Roman" w:cs="Times New Roman"/>
        </w:rPr>
        <w:t>E</w:t>
      </w:r>
      <w:r w:rsidRPr="004C75E0">
        <w:rPr>
          <w:rFonts w:ascii="Times New Roman" w:hAnsi="Times New Roman" w:cs="Times New Roman"/>
        </w:rPr>
        <w:t>ducation</w:t>
      </w:r>
      <w:r w:rsidR="00703DDD" w:rsidRPr="004C75E0">
        <w:rPr>
          <w:rFonts w:ascii="Times New Roman" w:hAnsi="Times New Roman" w:cs="Times New Roman"/>
        </w:rPr>
        <w:t xml:space="preserve"> </w:t>
      </w:r>
      <w:r w:rsidRPr="004C75E0">
        <w:rPr>
          <w:rFonts w:ascii="Times New Roman" w:hAnsi="Times New Roman" w:cs="Times New Roman"/>
        </w:rPr>
        <w:t>in Zambia</w:t>
      </w:r>
      <w:r w:rsidR="002D480F">
        <w:rPr>
          <w:rStyle w:val="FootnoteReference"/>
          <w:rFonts w:ascii="Times New Roman" w:hAnsi="Times New Roman" w:cs="Times New Roman"/>
        </w:rPr>
        <w:footnoteReference w:id="4"/>
      </w:r>
      <w:bookmarkEnd w:id="20"/>
    </w:p>
    <w:p w14:paraId="244FB11F" w14:textId="77777777" w:rsidR="00CE6423" w:rsidRPr="004C75E0" w:rsidRDefault="006D7FB2" w:rsidP="007B4D6B">
      <w:pPr>
        <w:pStyle w:val="Heading2"/>
        <w:spacing w:line="360" w:lineRule="auto"/>
        <w:rPr>
          <w:rFonts w:ascii="Times New Roman" w:hAnsi="Times New Roman" w:cs="Times New Roman"/>
        </w:rPr>
      </w:pPr>
      <w:bookmarkStart w:id="21" w:name="_Toc458687349"/>
      <w:r w:rsidRPr="004C75E0">
        <w:rPr>
          <w:rFonts w:ascii="Times New Roman" w:hAnsi="Times New Roman" w:cs="Times New Roman"/>
        </w:rPr>
        <w:t>3.1</w:t>
      </w:r>
      <w:r w:rsidRPr="004C75E0">
        <w:rPr>
          <w:rFonts w:ascii="Times New Roman" w:hAnsi="Times New Roman" w:cs="Times New Roman"/>
        </w:rPr>
        <w:tab/>
        <w:t>Policy Initiatives and Institutional A</w:t>
      </w:r>
      <w:r w:rsidR="001A40D8" w:rsidRPr="004C75E0">
        <w:rPr>
          <w:rFonts w:ascii="Times New Roman" w:hAnsi="Times New Roman" w:cs="Times New Roman"/>
        </w:rPr>
        <w:t>rrangements</w:t>
      </w:r>
      <w:bookmarkEnd w:id="21"/>
      <w:r w:rsidR="00703DDD" w:rsidRPr="004C75E0">
        <w:rPr>
          <w:rFonts w:ascii="Times New Roman" w:hAnsi="Times New Roman" w:cs="Times New Roman"/>
        </w:rPr>
        <w:t xml:space="preserve"> </w:t>
      </w:r>
    </w:p>
    <w:p w14:paraId="204AB4F3" w14:textId="3B447F00" w:rsidR="00CE6423" w:rsidRPr="004C75E0" w:rsidRDefault="00CE6423" w:rsidP="00CE6423">
      <w:pPr>
        <w:pStyle w:val="Heading3"/>
        <w:rPr>
          <w:rFonts w:ascii="Times New Roman" w:hAnsi="Times New Roman" w:cs="Times New Roman"/>
        </w:rPr>
      </w:pPr>
      <w:bookmarkStart w:id="22" w:name="_Toc458687350"/>
      <w:r w:rsidRPr="004C75E0">
        <w:rPr>
          <w:rFonts w:ascii="Times New Roman" w:hAnsi="Times New Roman" w:cs="Times New Roman"/>
        </w:rPr>
        <w:t>3.1.1</w:t>
      </w:r>
      <w:r w:rsidRPr="004C75E0">
        <w:rPr>
          <w:rFonts w:ascii="Times New Roman" w:hAnsi="Times New Roman" w:cs="Times New Roman"/>
        </w:rPr>
        <w:tab/>
        <w:t xml:space="preserve">Appraisal of </w:t>
      </w:r>
      <w:r w:rsidR="00693A1C">
        <w:rPr>
          <w:rFonts w:ascii="Times New Roman" w:hAnsi="Times New Roman" w:cs="Times New Roman"/>
        </w:rPr>
        <w:t>T</w:t>
      </w:r>
      <w:r w:rsidR="00375DEE" w:rsidRPr="004C75E0">
        <w:rPr>
          <w:rFonts w:ascii="Times New Roman" w:hAnsi="Times New Roman" w:cs="Times New Roman"/>
        </w:rPr>
        <w:t>rends in</w:t>
      </w:r>
      <w:r w:rsidR="00693A1C">
        <w:rPr>
          <w:rFonts w:ascii="Times New Roman" w:hAnsi="Times New Roman" w:cs="Times New Roman"/>
        </w:rPr>
        <w:t xml:space="preserve"> Policy I</w:t>
      </w:r>
      <w:r w:rsidRPr="004C75E0">
        <w:rPr>
          <w:rFonts w:ascii="Times New Roman" w:hAnsi="Times New Roman" w:cs="Times New Roman"/>
        </w:rPr>
        <w:t>nitiatives</w:t>
      </w:r>
      <w:r w:rsidR="00693A1C">
        <w:rPr>
          <w:rFonts w:ascii="Times New Roman" w:hAnsi="Times New Roman" w:cs="Times New Roman"/>
        </w:rPr>
        <w:t xml:space="preserve"> and Priority A</w:t>
      </w:r>
      <w:r w:rsidR="007B4D6B" w:rsidRPr="004C75E0">
        <w:rPr>
          <w:rFonts w:ascii="Times New Roman" w:hAnsi="Times New Roman" w:cs="Times New Roman"/>
        </w:rPr>
        <w:t>ctions</w:t>
      </w:r>
      <w:bookmarkEnd w:id="22"/>
    </w:p>
    <w:p w14:paraId="6D0C9B14" w14:textId="77777777" w:rsidR="00CE6423" w:rsidRPr="00AB46AF" w:rsidRDefault="00A3094B" w:rsidP="0044653C">
      <w:pPr>
        <w:autoSpaceDE w:val="0"/>
        <w:autoSpaceDN w:val="0"/>
        <w:adjustRightInd w:val="0"/>
        <w:spacing w:after="0" w:line="360" w:lineRule="auto"/>
        <w:jc w:val="both"/>
        <w:rPr>
          <w:rFonts w:ascii="Times New Roman" w:hAnsi="Times New Roman" w:cs="Times New Roman"/>
          <w:sz w:val="24"/>
          <w:szCs w:val="24"/>
        </w:rPr>
      </w:pPr>
      <w:r w:rsidRPr="00AB46AF">
        <w:rPr>
          <w:rFonts w:ascii="Times New Roman" w:hAnsi="Times New Roman" w:cs="Times New Roman"/>
          <w:sz w:val="24"/>
          <w:szCs w:val="24"/>
        </w:rPr>
        <w:t>In the second half of the 1990</w:t>
      </w:r>
      <w:r w:rsidR="002D480F" w:rsidRPr="00AB46AF">
        <w:rPr>
          <w:rFonts w:ascii="Times New Roman" w:hAnsi="Times New Roman" w:cs="Times New Roman"/>
          <w:sz w:val="24"/>
          <w:szCs w:val="24"/>
        </w:rPr>
        <w:t>s, the Zambian government sought</w:t>
      </w:r>
      <w:r w:rsidRPr="00AB46AF">
        <w:rPr>
          <w:rFonts w:ascii="Times New Roman" w:hAnsi="Times New Roman" w:cs="Times New Roman"/>
          <w:sz w:val="24"/>
          <w:szCs w:val="24"/>
        </w:rPr>
        <w:t xml:space="preserve"> to revitalise the education sector after years of neglect.</w:t>
      </w:r>
      <w:r w:rsidRPr="00AB46AF">
        <w:rPr>
          <w:rFonts w:ascii="Times New Roman" w:hAnsi="Times New Roman" w:cs="Times New Roman"/>
        </w:rPr>
        <w:t xml:space="preserve"> In 1996, following the</w:t>
      </w:r>
      <w:r w:rsidR="00027183" w:rsidRPr="00AB46AF">
        <w:rPr>
          <w:rFonts w:ascii="Times New Roman" w:hAnsi="Times New Roman" w:cs="Times New Roman"/>
        </w:rPr>
        <w:t xml:space="preserve"> 1990</w:t>
      </w:r>
      <w:r w:rsidRPr="00AB46AF">
        <w:rPr>
          <w:rFonts w:ascii="Times New Roman" w:hAnsi="Times New Roman" w:cs="Times New Roman"/>
        </w:rPr>
        <w:t xml:space="preserve"> Jomtien agenda</w:t>
      </w:r>
      <w:r w:rsidR="00A052C2" w:rsidRPr="00AB46AF">
        <w:rPr>
          <w:rStyle w:val="FootnoteReference"/>
          <w:rFonts w:ascii="Times New Roman" w:hAnsi="Times New Roman" w:cs="Times New Roman"/>
        </w:rPr>
        <w:footnoteReference w:id="5"/>
      </w:r>
      <w:r w:rsidRPr="00AB46AF">
        <w:rPr>
          <w:rFonts w:ascii="Times New Roman" w:hAnsi="Times New Roman" w:cs="Times New Roman"/>
        </w:rPr>
        <w:t>, the Government of the Republic of Zambia produced a policy document called Educating Our Future (1996), which marked the start of renewed attention to the education sector</w:t>
      </w:r>
      <w:r w:rsidR="00A91F4B" w:rsidRPr="00AB46AF">
        <w:rPr>
          <w:rStyle w:val="FootnoteReference"/>
          <w:rFonts w:ascii="Times New Roman" w:hAnsi="Times New Roman" w:cs="Times New Roman"/>
        </w:rPr>
        <w:footnoteReference w:id="6"/>
      </w:r>
      <w:r w:rsidRPr="00AB46AF">
        <w:rPr>
          <w:rFonts w:ascii="Times New Roman" w:hAnsi="Times New Roman" w:cs="Times New Roman"/>
        </w:rPr>
        <w:t>.</w:t>
      </w:r>
      <w:r w:rsidR="00666020" w:rsidRPr="00AB46AF">
        <w:rPr>
          <w:rFonts w:ascii="Times New Roman" w:hAnsi="Times New Roman" w:cs="Times New Roman"/>
          <w:sz w:val="24"/>
          <w:szCs w:val="24"/>
        </w:rPr>
        <w:t xml:space="preserve"> </w:t>
      </w:r>
      <w:r w:rsidR="00307A64" w:rsidRPr="00AB46AF">
        <w:rPr>
          <w:rFonts w:ascii="Times New Roman" w:hAnsi="Times New Roman" w:cs="Times New Roman"/>
        </w:rPr>
        <w:t>B</w:t>
      </w:r>
      <w:r w:rsidRPr="00AB46AF">
        <w:rPr>
          <w:rFonts w:ascii="Times New Roman" w:hAnsi="Times New Roman" w:cs="Times New Roman"/>
        </w:rPr>
        <w:t xml:space="preserve">uilding on this momentum and </w:t>
      </w:r>
      <w:r w:rsidR="0044653C" w:rsidRPr="00AB46AF">
        <w:rPr>
          <w:rFonts w:ascii="Times New Roman" w:hAnsi="Times New Roman" w:cs="Times New Roman"/>
          <w:sz w:val="24"/>
          <w:szCs w:val="24"/>
        </w:rPr>
        <w:t>in support of the EFA goals, Zambia mobilized local and international assistance from cooperating partners and civil society actors operating in the education sector. In order to reduce transaction costs, Zambia also developed a Joint Assistance Strategy (JAS) that harmonizes general education investments, aid coordination and monitoring of progress. Critical investment frameworks for education included the Basic Education Subsector Investment Programme (BESSIP - 1999), the Education Sector Plan (2003 - 2007), the Fifth National Development Plan, Education Chapter (2006), the Second and Third Education National Implementation Plan (NIF II 2008 &amp; III- 2012), the Sixt</w:t>
      </w:r>
      <w:r w:rsidR="009F49ED" w:rsidRPr="00AB46AF">
        <w:rPr>
          <w:rFonts w:ascii="Times New Roman" w:hAnsi="Times New Roman" w:cs="Times New Roman"/>
          <w:sz w:val="24"/>
          <w:szCs w:val="24"/>
        </w:rPr>
        <w:t>h National Development Plan ( 2011-2015)</w:t>
      </w:r>
      <w:r w:rsidR="0044653C" w:rsidRPr="00AB46AF">
        <w:rPr>
          <w:rFonts w:ascii="Times New Roman" w:hAnsi="Times New Roman" w:cs="Times New Roman"/>
          <w:sz w:val="24"/>
          <w:szCs w:val="24"/>
        </w:rPr>
        <w:t>.</w:t>
      </w:r>
      <w:r w:rsidR="0050268D" w:rsidRPr="00AB46AF">
        <w:rPr>
          <w:rFonts w:ascii="Times New Roman" w:hAnsi="Times New Roman" w:cs="Times New Roman"/>
        </w:rPr>
        <w:t xml:space="preserve"> </w:t>
      </w:r>
      <w:r w:rsidR="0044653C" w:rsidRPr="00AB46AF">
        <w:rPr>
          <w:rFonts w:ascii="Times New Roman" w:hAnsi="Times New Roman" w:cs="Times New Roman"/>
        </w:rPr>
        <w:t xml:space="preserve">For the purpose of this report, </w:t>
      </w:r>
      <w:r w:rsidR="0050268D" w:rsidRPr="00AB46AF">
        <w:rPr>
          <w:rFonts w:ascii="Times New Roman" w:hAnsi="Times New Roman" w:cs="Times New Roman"/>
        </w:rPr>
        <w:t>two</w:t>
      </w:r>
      <w:r w:rsidR="0044653C" w:rsidRPr="00AB46AF">
        <w:rPr>
          <w:rFonts w:ascii="Times New Roman" w:hAnsi="Times New Roman" w:cs="Times New Roman"/>
        </w:rPr>
        <w:t xml:space="preserve"> of these critical investment frameworks that have been hailed as having made significant impact are re</w:t>
      </w:r>
      <w:r w:rsidR="002D480F" w:rsidRPr="00AB46AF">
        <w:rPr>
          <w:rFonts w:ascii="Times New Roman" w:hAnsi="Times New Roman" w:cs="Times New Roman"/>
        </w:rPr>
        <w:t xml:space="preserve">viewed, namely the </w:t>
      </w:r>
      <w:r w:rsidR="0050268D" w:rsidRPr="00AB46AF">
        <w:rPr>
          <w:rFonts w:ascii="Times New Roman" w:hAnsi="Times New Roman" w:cs="Times New Roman"/>
        </w:rPr>
        <w:t>Basic Education Sub-Sector Investment Plan (BESSIP, 1999-2002) and the Ministry of Education S</w:t>
      </w:r>
      <w:r w:rsidRPr="00AB46AF">
        <w:rPr>
          <w:rFonts w:ascii="Times New Roman" w:hAnsi="Times New Roman" w:cs="Times New Roman"/>
        </w:rPr>
        <w:t>trategic Plan (MoESP</w:t>
      </w:r>
      <w:r w:rsidR="00993EE6" w:rsidRPr="00AB46AF">
        <w:rPr>
          <w:rFonts w:ascii="Times New Roman" w:hAnsi="Times New Roman" w:cs="Times New Roman"/>
        </w:rPr>
        <w:t>,</w:t>
      </w:r>
      <w:r w:rsidRPr="00AB46AF">
        <w:rPr>
          <w:rFonts w:ascii="Times New Roman" w:hAnsi="Times New Roman" w:cs="Times New Roman"/>
        </w:rPr>
        <w:t xml:space="preserve"> 2003-2007)</w:t>
      </w:r>
      <w:r w:rsidRPr="00AB46AF">
        <w:rPr>
          <w:rFonts w:ascii="Times New Roman" w:hAnsi="Times New Roman" w:cs="Times New Roman"/>
          <w:sz w:val="24"/>
          <w:szCs w:val="24"/>
        </w:rPr>
        <w:t>.</w:t>
      </w:r>
      <w:r w:rsidR="0044653C" w:rsidRPr="00AB46AF">
        <w:rPr>
          <w:rFonts w:ascii="Times New Roman" w:hAnsi="Times New Roman" w:cs="Times New Roman"/>
          <w:sz w:val="24"/>
          <w:szCs w:val="24"/>
        </w:rPr>
        <w:t xml:space="preserve"> </w:t>
      </w:r>
    </w:p>
    <w:p w14:paraId="17A62F13" w14:textId="77777777" w:rsidR="004C75E0" w:rsidRPr="00AB46AF" w:rsidRDefault="004C75E0" w:rsidP="00A3094B">
      <w:pPr>
        <w:autoSpaceDE w:val="0"/>
        <w:autoSpaceDN w:val="0"/>
        <w:adjustRightInd w:val="0"/>
        <w:spacing w:after="0" w:line="360" w:lineRule="auto"/>
        <w:jc w:val="both"/>
        <w:rPr>
          <w:rFonts w:ascii="Times New Roman" w:hAnsi="Times New Roman" w:cs="Times New Roman"/>
          <w:sz w:val="24"/>
          <w:szCs w:val="24"/>
        </w:rPr>
      </w:pPr>
    </w:p>
    <w:p w14:paraId="5D68B974" w14:textId="77777777" w:rsidR="0050268D" w:rsidRPr="00AB46AF" w:rsidRDefault="00A3094B" w:rsidP="00A3094B">
      <w:pPr>
        <w:autoSpaceDE w:val="0"/>
        <w:autoSpaceDN w:val="0"/>
        <w:adjustRightInd w:val="0"/>
        <w:spacing w:after="0" w:line="360" w:lineRule="auto"/>
        <w:jc w:val="both"/>
        <w:rPr>
          <w:rFonts w:ascii="Times New Roman" w:hAnsi="Times New Roman" w:cs="Times New Roman"/>
        </w:rPr>
      </w:pPr>
      <w:r w:rsidRPr="00AB46AF">
        <w:rPr>
          <w:rFonts w:ascii="Times New Roman" w:hAnsi="Times New Roman" w:cs="Times New Roman"/>
          <w:sz w:val="24"/>
          <w:szCs w:val="24"/>
        </w:rPr>
        <w:t xml:space="preserve">Together with the abolition of school fees, the implementation of these plans resulted in a sharp increase in the number of children enrolling. </w:t>
      </w:r>
      <w:r w:rsidR="0050268D" w:rsidRPr="00AB46AF">
        <w:rPr>
          <w:rFonts w:ascii="Times New Roman" w:hAnsi="Times New Roman" w:cs="Times New Roman"/>
        </w:rPr>
        <w:t>Each is reviewed in the next few paragraphs to dem</w:t>
      </w:r>
      <w:r w:rsidR="00B83878" w:rsidRPr="00AB46AF">
        <w:rPr>
          <w:rFonts w:ascii="Times New Roman" w:hAnsi="Times New Roman" w:cs="Times New Roman"/>
        </w:rPr>
        <w:t xml:space="preserve">onstrate how they </w:t>
      </w:r>
      <w:r w:rsidR="0050268D" w:rsidRPr="00AB46AF">
        <w:rPr>
          <w:rFonts w:ascii="Times New Roman" w:hAnsi="Times New Roman" w:cs="Times New Roman"/>
        </w:rPr>
        <w:t>in</w:t>
      </w:r>
      <w:r w:rsidR="00CE6423" w:rsidRPr="00AB46AF">
        <w:rPr>
          <w:rFonts w:ascii="Times New Roman" w:hAnsi="Times New Roman" w:cs="Times New Roman"/>
        </w:rPr>
        <w:t>fluenced the achievement of EFA/MDG education goals</w:t>
      </w:r>
      <w:r w:rsidR="0050268D" w:rsidRPr="00AB46AF">
        <w:rPr>
          <w:rFonts w:ascii="Times New Roman" w:hAnsi="Times New Roman" w:cs="Times New Roman"/>
        </w:rPr>
        <w:t>.</w:t>
      </w:r>
    </w:p>
    <w:p w14:paraId="159F70E8" w14:textId="77777777" w:rsidR="00CE6423" w:rsidRPr="004C75E0" w:rsidRDefault="00CE6423" w:rsidP="00A3094B">
      <w:pPr>
        <w:autoSpaceDE w:val="0"/>
        <w:autoSpaceDN w:val="0"/>
        <w:adjustRightInd w:val="0"/>
        <w:spacing w:after="0" w:line="360" w:lineRule="auto"/>
        <w:jc w:val="both"/>
        <w:rPr>
          <w:rFonts w:ascii="Times New Roman" w:hAnsi="Times New Roman" w:cs="Times New Roman"/>
          <w:sz w:val="24"/>
          <w:szCs w:val="24"/>
        </w:rPr>
      </w:pPr>
    </w:p>
    <w:p w14:paraId="20BB3EFD" w14:textId="442C583A" w:rsidR="0050268D" w:rsidRPr="004C75E0" w:rsidRDefault="0050268D" w:rsidP="00CE6423">
      <w:pPr>
        <w:pStyle w:val="ListParagraph"/>
        <w:numPr>
          <w:ilvl w:val="0"/>
          <w:numId w:val="13"/>
        </w:numPr>
        <w:spacing w:line="360" w:lineRule="auto"/>
        <w:rPr>
          <w:rFonts w:ascii="Times New Roman" w:hAnsi="Times New Roman" w:cs="Times New Roman"/>
          <w:b/>
        </w:rPr>
      </w:pPr>
      <w:r w:rsidRPr="004C75E0">
        <w:rPr>
          <w:rFonts w:ascii="Times New Roman" w:hAnsi="Times New Roman" w:cs="Times New Roman"/>
          <w:b/>
        </w:rPr>
        <w:t>Basic Educ</w:t>
      </w:r>
      <w:r w:rsidR="005B39B8">
        <w:rPr>
          <w:rFonts w:ascii="Times New Roman" w:hAnsi="Times New Roman" w:cs="Times New Roman"/>
          <w:b/>
        </w:rPr>
        <w:t>ation Sub-Sector Investment Programme</w:t>
      </w:r>
      <w:r w:rsidRPr="004C75E0">
        <w:rPr>
          <w:rFonts w:ascii="Times New Roman" w:hAnsi="Times New Roman" w:cs="Times New Roman"/>
          <w:b/>
        </w:rPr>
        <w:t xml:space="preserve"> (BESSIP)</w:t>
      </w:r>
    </w:p>
    <w:p w14:paraId="4A6C270F" w14:textId="0DF21138" w:rsidR="0050268D" w:rsidRPr="004C75E0" w:rsidRDefault="002D480F" w:rsidP="00CE6423">
      <w:pPr>
        <w:spacing w:line="360" w:lineRule="auto"/>
        <w:contextualSpacing/>
        <w:jc w:val="both"/>
        <w:rPr>
          <w:rFonts w:ascii="Times New Roman" w:hAnsi="Times New Roman" w:cs="Times New Roman"/>
        </w:rPr>
      </w:pPr>
      <w:r>
        <w:rPr>
          <w:rFonts w:ascii="Times New Roman" w:hAnsi="Times New Roman" w:cs="Times New Roman"/>
        </w:rPr>
        <w:t>With heightened political will and resource availability from the World Bank, t</w:t>
      </w:r>
      <w:r w:rsidR="0050268D" w:rsidRPr="004C75E0">
        <w:rPr>
          <w:rFonts w:ascii="Times New Roman" w:hAnsi="Times New Roman" w:cs="Times New Roman"/>
        </w:rPr>
        <w:t>he Basic Educ</w:t>
      </w:r>
      <w:r w:rsidR="005B39B8">
        <w:rPr>
          <w:rFonts w:ascii="Times New Roman" w:hAnsi="Times New Roman" w:cs="Times New Roman"/>
        </w:rPr>
        <w:t>ation Sub-Sector Investment Programme</w:t>
      </w:r>
      <w:r w:rsidR="0050268D" w:rsidRPr="004C75E0">
        <w:rPr>
          <w:rFonts w:ascii="Times New Roman" w:hAnsi="Times New Roman" w:cs="Times New Roman"/>
        </w:rPr>
        <w:t xml:space="preserve"> (BESSIP) was a targeted education investment plan which sought to increase access and quality of primary education. Its main objectives were to: a) increase enrolment at grades 1-7 and reverse the decline in enrolment by providing access to education for all eligible children; b) improve learning achievements, especially in literacy and mathematics (BESSIP, 1999). By implementing this plan, the M</w:t>
      </w:r>
      <w:r w:rsidR="00507BB9" w:rsidRPr="004C75E0">
        <w:rPr>
          <w:rFonts w:ascii="Times New Roman" w:hAnsi="Times New Roman" w:cs="Times New Roman"/>
        </w:rPr>
        <w:t>inistry of Education (MoE)</w:t>
      </w:r>
      <w:r w:rsidR="0050268D" w:rsidRPr="004C75E0">
        <w:rPr>
          <w:rFonts w:ascii="Times New Roman" w:hAnsi="Times New Roman" w:cs="Times New Roman"/>
        </w:rPr>
        <w:t xml:space="preserve"> sought to realise 100 percent enrolment by 2005 while at the same time reducing repetition and dropout rates. Second, by that time at least 65 percent of the pupils were to reach satisfactory levels for English and at least 50 percent of the pupils were to achieve satisfactory results for mathematics. By 2015, every pupil was to be given the opportunity to proceed to the higher basic level (grade 8). By 2005, 60 percent of schools were to meet the minimum education standards and the average pupil teacher ratio was to be 40:1 (IOB Evaluation Report, 2008:36). </w:t>
      </w:r>
      <w:r w:rsidR="004C75E0">
        <w:rPr>
          <w:rFonts w:ascii="Times New Roman" w:hAnsi="Times New Roman" w:cs="Times New Roman"/>
        </w:rPr>
        <w:t xml:space="preserve"> </w:t>
      </w:r>
      <w:r w:rsidR="0050268D" w:rsidRPr="004C75E0">
        <w:rPr>
          <w:rFonts w:ascii="Times New Roman" w:hAnsi="Times New Roman" w:cs="Times New Roman"/>
        </w:rPr>
        <w:t xml:space="preserve">More specifically, BESSIP sought to improve access to education through: </w:t>
      </w:r>
    </w:p>
    <w:p w14:paraId="3223384D" w14:textId="77777777" w:rsidR="0050268D" w:rsidRPr="004C75E0" w:rsidRDefault="0050268D" w:rsidP="00CE6423">
      <w:pPr>
        <w:spacing w:line="360" w:lineRule="auto"/>
        <w:ind w:left="720"/>
        <w:contextualSpacing/>
        <w:jc w:val="both"/>
        <w:rPr>
          <w:rFonts w:ascii="Times New Roman" w:hAnsi="Times New Roman" w:cs="Times New Roman"/>
        </w:rPr>
      </w:pPr>
      <w:r w:rsidRPr="004C75E0">
        <w:rPr>
          <w:rFonts w:ascii="Times New Roman" w:hAnsi="Times New Roman" w:cs="Times New Roman"/>
        </w:rPr>
        <w:t xml:space="preserve">• Constructing new schools in order to reduce walking distances to a maximum of five kilometres; </w:t>
      </w:r>
    </w:p>
    <w:p w14:paraId="0C33B140" w14:textId="77777777" w:rsidR="0050268D" w:rsidRPr="004C75E0" w:rsidRDefault="0050268D" w:rsidP="00CE6423">
      <w:pPr>
        <w:spacing w:line="360" w:lineRule="auto"/>
        <w:ind w:left="720"/>
        <w:contextualSpacing/>
        <w:jc w:val="both"/>
        <w:rPr>
          <w:rFonts w:ascii="Times New Roman" w:hAnsi="Times New Roman" w:cs="Times New Roman"/>
        </w:rPr>
      </w:pPr>
      <w:r w:rsidRPr="004C75E0">
        <w:rPr>
          <w:rFonts w:ascii="Times New Roman" w:hAnsi="Times New Roman" w:cs="Times New Roman"/>
        </w:rPr>
        <w:t xml:space="preserve">• Reducing school costs for parents by providing grants to schools; </w:t>
      </w:r>
    </w:p>
    <w:p w14:paraId="36239E78" w14:textId="77777777" w:rsidR="0050268D" w:rsidRPr="004C75E0" w:rsidRDefault="0050268D" w:rsidP="00CE6423">
      <w:pPr>
        <w:spacing w:line="360" w:lineRule="auto"/>
        <w:ind w:left="720"/>
        <w:contextualSpacing/>
        <w:jc w:val="both"/>
        <w:rPr>
          <w:rFonts w:ascii="Times New Roman" w:hAnsi="Times New Roman" w:cs="Times New Roman"/>
        </w:rPr>
      </w:pPr>
      <w:r w:rsidRPr="004C75E0">
        <w:rPr>
          <w:rFonts w:ascii="Times New Roman" w:hAnsi="Times New Roman" w:cs="Times New Roman"/>
        </w:rPr>
        <w:t xml:space="preserve">• Enrolling children who had dropped out or had never gone to school; </w:t>
      </w:r>
    </w:p>
    <w:p w14:paraId="0F83409B" w14:textId="77777777" w:rsidR="0050268D" w:rsidRPr="004C75E0" w:rsidRDefault="0050268D" w:rsidP="00CE6423">
      <w:pPr>
        <w:spacing w:line="360" w:lineRule="auto"/>
        <w:ind w:left="720"/>
        <w:contextualSpacing/>
        <w:jc w:val="both"/>
        <w:rPr>
          <w:rFonts w:ascii="Times New Roman" w:hAnsi="Times New Roman" w:cs="Times New Roman"/>
        </w:rPr>
      </w:pPr>
      <w:r w:rsidRPr="004C75E0">
        <w:rPr>
          <w:rFonts w:ascii="Times New Roman" w:hAnsi="Times New Roman" w:cs="Times New Roman"/>
        </w:rPr>
        <w:t xml:space="preserve">• Offering more bursaries to vulnerable children (girls, orphans, the poor and children in rural areas). </w:t>
      </w:r>
    </w:p>
    <w:p w14:paraId="39523A13" w14:textId="77777777" w:rsidR="0050268D" w:rsidRPr="004C75E0" w:rsidRDefault="0050268D" w:rsidP="00CE6423">
      <w:pPr>
        <w:spacing w:line="360" w:lineRule="auto"/>
        <w:contextualSpacing/>
        <w:jc w:val="both"/>
        <w:rPr>
          <w:rFonts w:ascii="Times New Roman" w:hAnsi="Times New Roman" w:cs="Times New Roman"/>
        </w:rPr>
      </w:pPr>
      <w:r w:rsidRPr="004C75E0">
        <w:rPr>
          <w:rFonts w:ascii="Times New Roman" w:hAnsi="Times New Roman" w:cs="Times New Roman"/>
        </w:rPr>
        <w:t xml:space="preserve">At the same time, the quality of education was to be improved through: </w:t>
      </w:r>
    </w:p>
    <w:p w14:paraId="228AB47C" w14:textId="77777777" w:rsidR="0050268D" w:rsidRPr="004C75E0" w:rsidRDefault="0050268D" w:rsidP="00EE1134">
      <w:pPr>
        <w:spacing w:line="360" w:lineRule="auto"/>
        <w:ind w:left="720"/>
        <w:contextualSpacing/>
        <w:jc w:val="both"/>
        <w:rPr>
          <w:rFonts w:ascii="Times New Roman" w:hAnsi="Times New Roman" w:cs="Times New Roman"/>
        </w:rPr>
      </w:pPr>
      <w:r w:rsidRPr="004C75E0">
        <w:rPr>
          <w:rFonts w:ascii="Times New Roman" w:hAnsi="Times New Roman" w:cs="Times New Roman"/>
        </w:rPr>
        <w:t xml:space="preserve">• Providing textbooks (by 2005, no more than two pupils were to share one book for English, Mathematics or Zambian languages); </w:t>
      </w:r>
    </w:p>
    <w:p w14:paraId="3E3ABAC2" w14:textId="77777777" w:rsidR="0050268D" w:rsidRPr="004C75E0" w:rsidRDefault="0050268D" w:rsidP="00EE1134">
      <w:pPr>
        <w:spacing w:line="360" w:lineRule="auto"/>
        <w:ind w:left="720"/>
        <w:contextualSpacing/>
        <w:jc w:val="both"/>
        <w:rPr>
          <w:rFonts w:ascii="Times New Roman" w:hAnsi="Times New Roman" w:cs="Times New Roman"/>
        </w:rPr>
      </w:pPr>
      <w:r w:rsidRPr="004C75E0">
        <w:rPr>
          <w:rFonts w:ascii="Times New Roman" w:hAnsi="Times New Roman" w:cs="Times New Roman"/>
        </w:rPr>
        <w:t xml:space="preserve">• More focused and decentralised training; </w:t>
      </w:r>
    </w:p>
    <w:p w14:paraId="6E1B89C7" w14:textId="77777777" w:rsidR="0050268D" w:rsidRPr="004C75E0" w:rsidRDefault="0050268D" w:rsidP="00EE1134">
      <w:pPr>
        <w:spacing w:line="360" w:lineRule="auto"/>
        <w:ind w:left="720"/>
        <w:contextualSpacing/>
        <w:jc w:val="both"/>
        <w:rPr>
          <w:rFonts w:ascii="Times New Roman" w:hAnsi="Times New Roman" w:cs="Times New Roman"/>
        </w:rPr>
      </w:pPr>
      <w:r w:rsidRPr="004C75E0">
        <w:rPr>
          <w:rFonts w:ascii="Times New Roman" w:hAnsi="Times New Roman" w:cs="Times New Roman"/>
        </w:rPr>
        <w:t xml:space="preserve">• Implementing a national assessment of the education system; </w:t>
      </w:r>
    </w:p>
    <w:p w14:paraId="31818750" w14:textId="77777777" w:rsidR="0050268D" w:rsidRPr="004C75E0" w:rsidRDefault="0050268D" w:rsidP="00EE1134">
      <w:pPr>
        <w:spacing w:line="360" w:lineRule="auto"/>
        <w:ind w:left="720"/>
        <w:contextualSpacing/>
        <w:jc w:val="both"/>
        <w:rPr>
          <w:rFonts w:ascii="Times New Roman" w:hAnsi="Times New Roman" w:cs="Times New Roman"/>
        </w:rPr>
      </w:pPr>
      <w:r w:rsidRPr="004C75E0">
        <w:rPr>
          <w:rFonts w:ascii="Times New Roman" w:hAnsi="Times New Roman" w:cs="Times New Roman"/>
        </w:rPr>
        <w:t xml:space="preserve">• Revising the basic school curriculum; </w:t>
      </w:r>
    </w:p>
    <w:p w14:paraId="5130D0D1" w14:textId="77777777" w:rsidR="0050268D" w:rsidRPr="004C75E0" w:rsidRDefault="0050268D" w:rsidP="00EE1134">
      <w:pPr>
        <w:spacing w:line="360" w:lineRule="auto"/>
        <w:ind w:left="720"/>
        <w:contextualSpacing/>
        <w:jc w:val="both"/>
        <w:rPr>
          <w:rFonts w:ascii="Times New Roman" w:hAnsi="Times New Roman" w:cs="Times New Roman"/>
        </w:rPr>
      </w:pPr>
      <w:r w:rsidRPr="004C75E0">
        <w:rPr>
          <w:rFonts w:ascii="Times New Roman" w:hAnsi="Times New Roman" w:cs="Times New Roman"/>
        </w:rPr>
        <w:t xml:space="preserve">• Teaching initial literacy through familiar languages. </w:t>
      </w:r>
    </w:p>
    <w:p w14:paraId="58C7CA13" w14:textId="77777777" w:rsidR="00EE1134" w:rsidRPr="004C75E0" w:rsidRDefault="00EE1134" w:rsidP="00EE1134">
      <w:pPr>
        <w:spacing w:line="360" w:lineRule="auto"/>
        <w:ind w:left="720"/>
        <w:contextualSpacing/>
        <w:jc w:val="both"/>
        <w:rPr>
          <w:rFonts w:ascii="Times New Roman" w:hAnsi="Times New Roman" w:cs="Times New Roman"/>
        </w:rPr>
      </w:pPr>
    </w:p>
    <w:p w14:paraId="03A0272D" w14:textId="77777777" w:rsidR="0050268D" w:rsidRPr="004C75E0" w:rsidRDefault="0050268D" w:rsidP="00CE6423">
      <w:pPr>
        <w:spacing w:line="360" w:lineRule="auto"/>
        <w:contextualSpacing/>
        <w:jc w:val="both"/>
        <w:rPr>
          <w:rFonts w:ascii="Times New Roman" w:hAnsi="Times New Roman" w:cs="Times New Roman"/>
        </w:rPr>
      </w:pPr>
      <w:r w:rsidRPr="004C75E0">
        <w:rPr>
          <w:rFonts w:ascii="Times New Roman" w:hAnsi="Times New Roman" w:cs="Times New Roman"/>
        </w:rPr>
        <w:t>Chisala and Cornelissen (2003:86) report that “BESSIP had a slow start”. In 1999, only 19 percent of the pooled funds were actually spent. They attribute this to the slow restructuring process at the Ministry of Education and the slow pace of decentralisation that hindered effective implementation of BESSIP at the local level (Chisala and Cornelissen, 2003:86). The programme was more successful in its second phase, however.  In February 2002, President Levy Mwanawasa announced Free Basic Education (FBE) for grades 1-7. Statutory fees for these grades were abolished in order to improve enrolment and retention, especially of vulnerable children. Moreover, school uniforms were no longer compulsory. Free Basic Educati</w:t>
      </w:r>
      <w:r w:rsidR="00662A6F" w:rsidRPr="004C75E0">
        <w:rPr>
          <w:rFonts w:ascii="Times New Roman" w:hAnsi="Times New Roman" w:cs="Times New Roman"/>
        </w:rPr>
        <w:t xml:space="preserve">on was implemented immediately </w:t>
      </w:r>
      <w:r w:rsidRPr="004C75E0">
        <w:rPr>
          <w:rFonts w:ascii="Times New Roman" w:hAnsi="Times New Roman" w:cs="Times New Roman"/>
        </w:rPr>
        <w:t xml:space="preserve">(IOB, Evaluation Report, 2008:38). </w:t>
      </w:r>
    </w:p>
    <w:p w14:paraId="320BAEE2" w14:textId="77777777" w:rsidR="00330E5C" w:rsidRPr="004C75E0" w:rsidRDefault="00330E5C" w:rsidP="00CE6423">
      <w:pPr>
        <w:spacing w:line="360" w:lineRule="auto"/>
        <w:contextualSpacing/>
        <w:jc w:val="both"/>
        <w:rPr>
          <w:rFonts w:ascii="Times New Roman" w:hAnsi="Times New Roman" w:cs="Times New Roman"/>
        </w:rPr>
      </w:pPr>
    </w:p>
    <w:p w14:paraId="0540DD29" w14:textId="36B29FD8" w:rsidR="0050268D" w:rsidRPr="004C75E0" w:rsidRDefault="0050268D" w:rsidP="00CE6423">
      <w:pPr>
        <w:spacing w:line="360" w:lineRule="auto"/>
        <w:contextualSpacing/>
        <w:jc w:val="both"/>
        <w:rPr>
          <w:rFonts w:ascii="Times New Roman" w:hAnsi="Times New Roman" w:cs="Times New Roman"/>
        </w:rPr>
      </w:pPr>
      <w:r w:rsidRPr="004C75E0">
        <w:rPr>
          <w:rFonts w:ascii="Times New Roman" w:hAnsi="Times New Roman" w:cs="Times New Roman"/>
        </w:rPr>
        <w:t>A 2008 study on the Impact of pri</w:t>
      </w:r>
      <w:r w:rsidR="00A10B1F">
        <w:rPr>
          <w:rFonts w:ascii="Times New Roman" w:hAnsi="Times New Roman" w:cs="Times New Roman"/>
        </w:rPr>
        <w:t>mary education in Zambia</w:t>
      </w:r>
      <w:r w:rsidR="00662A6F" w:rsidRPr="004C75E0">
        <w:rPr>
          <w:rFonts w:ascii="Times New Roman" w:hAnsi="Times New Roman" w:cs="Times New Roman"/>
        </w:rPr>
        <w:t xml:space="preserve"> found</w:t>
      </w:r>
      <w:r w:rsidRPr="004C75E0">
        <w:rPr>
          <w:rFonts w:ascii="Times New Roman" w:hAnsi="Times New Roman" w:cs="Times New Roman"/>
        </w:rPr>
        <w:t xml:space="preserve"> that “in 2000, there were approximately 5,300 basic schools</w:t>
      </w:r>
      <w:r w:rsidR="00A10B1F">
        <w:rPr>
          <w:rFonts w:ascii="Times New Roman" w:hAnsi="Times New Roman" w:cs="Times New Roman"/>
        </w:rPr>
        <w:t xml:space="preserve"> ( Grades 1-9)</w:t>
      </w:r>
      <w:r w:rsidRPr="004C75E0">
        <w:rPr>
          <w:rFonts w:ascii="Times New Roman" w:hAnsi="Times New Roman" w:cs="Times New Roman"/>
        </w:rPr>
        <w:t xml:space="preserve"> in Zambia, this number had increased to more than 8,000 in 2006 (with the largest growth coming from community schools)”. Over the same period, the total number of classrooms increased from 25,000 to 35,000. Further, under BESSIP, the MoE distributed 1.4 million books. Large numbers of new teachers were also recruited and trained. The total number of teachers increased by 35 percent, from 37,000 in 2000 to 57,000 in 2007 (including 44,000 teachers in GRZ schools and grant-aided schools, 4,000 in private/church schools and 8,500 in community schools</w:t>
      </w:r>
      <w:r w:rsidR="00507BB9" w:rsidRPr="004C75E0">
        <w:rPr>
          <w:rFonts w:ascii="Times New Roman" w:hAnsi="Times New Roman" w:cs="Times New Roman"/>
        </w:rPr>
        <w:t>)</w:t>
      </w:r>
      <w:r w:rsidRPr="004C75E0">
        <w:rPr>
          <w:rFonts w:ascii="Times New Roman" w:hAnsi="Times New Roman" w:cs="Times New Roman"/>
        </w:rPr>
        <w:t>. Completion rates improved from 67 percent to 82 percent in 2005. Although the gender gap decreased and parity</w:t>
      </w:r>
      <w:r w:rsidR="00A10B1F">
        <w:rPr>
          <w:rFonts w:ascii="Times New Roman" w:hAnsi="Times New Roman" w:cs="Times New Roman"/>
        </w:rPr>
        <w:t xml:space="preserve"> was achieved at primary school</w:t>
      </w:r>
      <w:r w:rsidRPr="004C75E0">
        <w:rPr>
          <w:rFonts w:ascii="Times New Roman" w:hAnsi="Times New Roman" w:cs="Times New Roman"/>
        </w:rPr>
        <w:t xml:space="preserve"> level,</w:t>
      </w:r>
      <w:r w:rsidR="00A10B1F">
        <w:rPr>
          <w:rFonts w:ascii="Times New Roman" w:hAnsi="Times New Roman" w:cs="Times New Roman"/>
        </w:rPr>
        <w:t xml:space="preserve"> gender disparities remained at secondary school</w:t>
      </w:r>
      <w:r w:rsidRPr="004C75E0">
        <w:rPr>
          <w:rFonts w:ascii="Times New Roman" w:hAnsi="Times New Roman" w:cs="Times New Roman"/>
        </w:rPr>
        <w:t xml:space="preserve"> levels (ZANEC, 2014). </w:t>
      </w:r>
      <w:r w:rsidR="00330E5C" w:rsidRPr="004C75E0">
        <w:rPr>
          <w:rFonts w:ascii="Times New Roman" w:hAnsi="Times New Roman" w:cs="Times New Roman"/>
        </w:rPr>
        <w:t xml:space="preserve"> </w:t>
      </w:r>
    </w:p>
    <w:p w14:paraId="24712532" w14:textId="77777777" w:rsidR="00330E5C" w:rsidRPr="004C75E0" w:rsidRDefault="00330E5C" w:rsidP="00CE6423">
      <w:pPr>
        <w:spacing w:line="360" w:lineRule="auto"/>
        <w:contextualSpacing/>
        <w:jc w:val="both"/>
        <w:rPr>
          <w:rFonts w:ascii="Times New Roman" w:hAnsi="Times New Roman" w:cs="Times New Roman"/>
        </w:rPr>
      </w:pPr>
    </w:p>
    <w:p w14:paraId="23ACA497" w14:textId="1C06B1DE" w:rsidR="00E20773" w:rsidRPr="004C75E0" w:rsidRDefault="00330E5C" w:rsidP="00CE6423">
      <w:pPr>
        <w:spacing w:line="360" w:lineRule="auto"/>
        <w:jc w:val="both"/>
        <w:rPr>
          <w:rFonts w:ascii="Times New Roman" w:eastAsia="Calibri" w:hAnsi="Times New Roman" w:cs="Times New Roman"/>
          <w:sz w:val="24"/>
          <w:szCs w:val="24"/>
          <w:lang w:val="en-US"/>
        </w:rPr>
      </w:pPr>
      <w:r w:rsidRPr="004C75E0">
        <w:rPr>
          <w:rFonts w:ascii="Times New Roman" w:hAnsi="Times New Roman" w:cs="Times New Roman"/>
        </w:rPr>
        <w:t>BESSIP had some inherent gaps in design and implementation, however.  First, it placed</w:t>
      </w:r>
      <w:r w:rsidR="0050268D" w:rsidRPr="004C75E0">
        <w:rPr>
          <w:rFonts w:ascii="Times New Roman" w:hAnsi="Times New Roman" w:cs="Times New Roman"/>
        </w:rPr>
        <w:t xml:space="preserve"> more emphasis on access than quality</w:t>
      </w:r>
      <w:r w:rsidRPr="004C75E0">
        <w:rPr>
          <w:rFonts w:ascii="Times New Roman" w:hAnsi="Times New Roman" w:cs="Times New Roman"/>
        </w:rPr>
        <w:t xml:space="preserve">. Second, </w:t>
      </w:r>
      <w:r w:rsidR="0050268D" w:rsidRPr="004C75E0">
        <w:rPr>
          <w:rFonts w:ascii="Times New Roman" w:hAnsi="Times New Roman" w:cs="Times New Roman"/>
        </w:rPr>
        <w:t>the rapid increase in enrolments outstripped teacher recruitment</w:t>
      </w:r>
      <w:r w:rsidRPr="004C75E0">
        <w:rPr>
          <w:rFonts w:ascii="Times New Roman" w:hAnsi="Times New Roman" w:cs="Times New Roman"/>
        </w:rPr>
        <w:t>,</w:t>
      </w:r>
      <w:r w:rsidR="0050268D" w:rsidRPr="004C75E0">
        <w:rPr>
          <w:rFonts w:ascii="Times New Roman" w:hAnsi="Times New Roman" w:cs="Times New Roman"/>
        </w:rPr>
        <w:t xml:space="preserve"> leading to</w:t>
      </w:r>
      <w:r w:rsidRPr="004C75E0">
        <w:rPr>
          <w:rFonts w:ascii="Times New Roman" w:hAnsi="Times New Roman" w:cs="Times New Roman"/>
        </w:rPr>
        <w:t xml:space="preserve"> overcrowding in schools.</w:t>
      </w:r>
      <w:r w:rsidR="0050268D" w:rsidRPr="004C75E0">
        <w:rPr>
          <w:rFonts w:ascii="Times New Roman" w:hAnsi="Times New Roman" w:cs="Times New Roman"/>
        </w:rPr>
        <w:t xml:space="preserve"> </w:t>
      </w:r>
      <w:r w:rsidRPr="004C75E0">
        <w:rPr>
          <w:rFonts w:ascii="Times New Roman" w:hAnsi="Times New Roman" w:cs="Times New Roman"/>
        </w:rPr>
        <w:t xml:space="preserve">Third, </w:t>
      </w:r>
      <w:r w:rsidR="0050268D" w:rsidRPr="004C75E0">
        <w:rPr>
          <w:rFonts w:ascii="Times New Roman" w:hAnsi="Times New Roman" w:cs="Times New Roman"/>
        </w:rPr>
        <w:t>learning and teaching materials were also outstripped by the rapid increase in enrolment.</w:t>
      </w:r>
      <w:r w:rsidR="00507BB9" w:rsidRPr="004C75E0">
        <w:rPr>
          <w:rFonts w:ascii="Times New Roman" w:hAnsi="Times New Roman" w:cs="Times New Roman"/>
        </w:rPr>
        <w:t xml:space="preserve"> </w:t>
      </w:r>
      <w:r w:rsidR="00E87A9E" w:rsidRPr="004C75E0">
        <w:rPr>
          <w:rFonts w:ascii="Times New Roman" w:hAnsi="Times New Roman" w:cs="Times New Roman"/>
        </w:rPr>
        <w:t xml:space="preserve"> Fourth</w:t>
      </w:r>
      <w:r w:rsidR="00E87A9E" w:rsidRPr="004C75E0">
        <w:rPr>
          <w:rFonts w:ascii="Times New Roman" w:eastAsia="Calibri" w:hAnsi="Times New Roman" w:cs="Times New Roman"/>
          <w:sz w:val="24"/>
          <w:szCs w:val="24"/>
          <w:lang w:val="en-US"/>
        </w:rPr>
        <w:t xml:space="preserve">, it ran </w:t>
      </w:r>
      <w:r w:rsidR="00E20773" w:rsidRPr="004C75E0">
        <w:rPr>
          <w:rFonts w:ascii="Times New Roman" w:eastAsia="Calibri" w:hAnsi="Times New Roman" w:cs="Times New Roman"/>
          <w:sz w:val="24"/>
          <w:szCs w:val="24"/>
          <w:lang w:val="en-US"/>
        </w:rPr>
        <w:t>parallel</w:t>
      </w:r>
      <w:r w:rsidR="00E87A9E" w:rsidRPr="004C75E0">
        <w:rPr>
          <w:rFonts w:ascii="Times New Roman" w:eastAsia="Calibri" w:hAnsi="Times New Roman" w:cs="Times New Roman"/>
          <w:sz w:val="24"/>
          <w:szCs w:val="24"/>
          <w:lang w:val="en-US"/>
        </w:rPr>
        <w:t xml:space="preserve"> to the </w:t>
      </w:r>
      <w:r w:rsidR="00E20773" w:rsidRPr="004C75E0">
        <w:rPr>
          <w:rFonts w:ascii="Times New Roman" w:eastAsia="Calibri" w:hAnsi="Times New Roman" w:cs="Times New Roman"/>
          <w:sz w:val="24"/>
          <w:szCs w:val="24"/>
          <w:lang w:val="en-US"/>
        </w:rPr>
        <w:t>public service education</w:t>
      </w:r>
      <w:r w:rsidR="00E87A9E" w:rsidRPr="004C75E0">
        <w:rPr>
          <w:rFonts w:ascii="Times New Roman" w:eastAsia="Calibri" w:hAnsi="Times New Roman" w:cs="Times New Roman"/>
          <w:sz w:val="24"/>
          <w:szCs w:val="24"/>
          <w:lang w:val="en-US"/>
        </w:rPr>
        <w:t xml:space="preserve"> system and thus, did not strengthen the education system in Zambia. As Irish Aid wrote, “this is clear when you assess the output from the high schools</w:t>
      </w:r>
      <w:r w:rsidR="00A10B1F">
        <w:rPr>
          <w:rFonts w:ascii="Times New Roman" w:eastAsia="Calibri" w:hAnsi="Times New Roman" w:cs="Times New Roman"/>
          <w:sz w:val="24"/>
          <w:szCs w:val="24"/>
          <w:lang w:val="en-US"/>
        </w:rPr>
        <w:t xml:space="preserve"> [grades 10-12]</w:t>
      </w:r>
      <w:r w:rsidR="00E87A9E" w:rsidRPr="004C75E0">
        <w:rPr>
          <w:rFonts w:ascii="Times New Roman" w:eastAsia="Calibri" w:hAnsi="Times New Roman" w:cs="Times New Roman"/>
          <w:sz w:val="24"/>
          <w:szCs w:val="24"/>
          <w:lang w:val="en-US"/>
        </w:rPr>
        <w:t xml:space="preserve"> against that of the basic schools</w:t>
      </w:r>
      <w:r w:rsidR="00A10B1F">
        <w:rPr>
          <w:rFonts w:ascii="Times New Roman" w:eastAsia="Calibri" w:hAnsi="Times New Roman" w:cs="Times New Roman"/>
          <w:sz w:val="24"/>
          <w:szCs w:val="24"/>
          <w:lang w:val="en-US"/>
        </w:rPr>
        <w:t xml:space="preserve"> [grades 1-9]</w:t>
      </w:r>
      <w:r w:rsidR="00E87A9E" w:rsidRPr="004C75E0">
        <w:rPr>
          <w:rFonts w:ascii="Times New Roman" w:eastAsia="Calibri" w:hAnsi="Times New Roman" w:cs="Times New Roman"/>
          <w:sz w:val="24"/>
          <w:szCs w:val="24"/>
          <w:lang w:val="en-US"/>
        </w:rPr>
        <w:t>. High schools</w:t>
      </w:r>
      <w:r w:rsidR="00A10B1F">
        <w:rPr>
          <w:rFonts w:ascii="Times New Roman" w:eastAsia="Calibri" w:hAnsi="Times New Roman" w:cs="Times New Roman"/>
          <w:sz w:val="24"/>
          <w:szCs w:val="24"/>
          <w:lang w:val="en-US"/>
        </w:rPr>
        <w:t xml:space="preserve"> [grades 10-12]</w:t>
      </w:r>
      <w:r w:rsidR="00E87A9E" w:rsidRPr="004C75E0">
        <w:rPr>
          <w:rFonts w:ascii="Times New Roman" w:eastAsia="Calibri" w:hAnsi="Times New Roman" w:cs="Times New Roman"/>
          <w:sz w:val="24"/>
          <w:szCs w:val="24"/>
          <w:lang w:val="en-US"/>
        </w:rPr>
        <w:t xml:space="preserve"> are in a deplorable state due to nearly 10 years of primary focus on the basic</w:t>
      </w:r>
      <w:r w:rsidR="00A10B1F">
        <w:rPr>
          <w:rFonts w:ascii="Times New Roman" w:eastAsia="Calibri" w:hAnsi="Times New Roman" w:cs="Times New Roman"/>
          <w:sz w:val="24"/>
          <w:szCs w:val="24"/>
          <w:lang w:val="en-US"/>
        </w:rPr>
        <w:t xml:space="preserve"> [grades 1-9]</w:t>
      </w:r>
      <w:r w:rsidR="00E87A9E" w:rsidRPr="004C75E0">
        <w:rPr>
          <w:rFonts w:ascii="Times New Roman" w:eastAsia="Calibri" w:hAnsi="Times New Roman" w:cs="Times New Roman"/>
          <w:sz w:val="24"/>
          <w:szCs w:val="24"/>
          <w:lang w:val="en-US"/>
        </w:rPr>
        <w:t xml:space="preserve"> sub-sector” (comments by Irish Aid on BESSIP, January 2007 cited in World Bank 2007:37). </w:t>
      </w:r>
    </w:p>
    <w:p w14:paraId="3132FBE4" w14:textId="77777777" w:rsidR="007B4D6B" w:rsidRPr="004C75E0" w:rsidRDefault="00507BB9" w:rsidP="00CE6423">
      <w:pPr>
        <w:spacing w:line="360" w:lineRule="auto"/>
        <w:contextualSpacing/>
        <w:jc w:val="both"/>
        <w:rPr>
          <w:rFonts w:ascii="Times New Roman" w:hAnsi="Times New Roman" w:cs="Times New Roman"/>
        </w:rPr>
      </w:pPr>
      <w:r w:rsidRPr="004C75E0">
        <w:rPr>
          <w:rFonts w:ascii="Times New Roman" w:hAnsi="Times New Roman" w:cs="Times New Roman"/>
        </w:rPr>
        <w:t>Most f</w:t>
      </w:r>
      <w:r w:rsidR="00E20773" w:rsidRPr="004C75E0">
        <w:rPr>
          <w:rFonts w:ascii="Times New Roman" w:hAnsi="Times New Roman" w:cs="Times New Roman"/>
        </w:rPr>
        <w:t>undamentally, the major shortcoming</w:t>
      </w:r>
      <w:r w:rsidRPr="004C75E0">
        <w:rPr>
          <w:rFonts w:ascii="Times New Roman" w:hAnsi="Times New Roman" w:cs="Times New Roman"/>
        </w:rPr>
        <w:t xml:space="preserve"> was its </w:t>
      </w:r>
      <w:r w:rsidR="00662A6F" w:rsidRPr="004C75E0">
        <w:rPr>
          <w:rFonts w:ascii="Times New Roman" w:hAnsi="Times New Roman" w:cs="Times New Roman"/>
        </w:rPr>
        <w:t xml:space="preserve">narrow focus and </w:t>
      </w:r>
      <w:r w:rsidRPr="004C75E0">
        <w:rPr>
          <w:rFonts w:ascii="Times New Roman" w:hAnsi="Times New Roman" w:cs="Times New Roman"/>
        </w:rPr>
        <w:t>preoccupation with inputs and enrolments</w:t>
      </w:r>
      <w:r w:rsidR="00F80551" w:rsidRPr="004C75E0">
        <w:rPr>
          <w:rFonts w:ascii="Times New Roman" w:hAnsi="Times New Roman" w:cs="Times New Roman"/>
        </w:rPr>
        <w:t>, leaving a gap in actual learning outcomes.</w:t>
      </w:r>
      <w:r w:rsidR="0050268D" w:rsidRPr="004C75E0">
        <w:rPr>
          <w:rFonts w:ascii="Times New Roman" w:hAnsi="Times New Roman" w:cs="Times New Roman"/>
        </w:rPr>
        <w:t xml:space="preserve"> However, it is credited for managing to lift primary enrolment by over half from 1.9 million in 2002/2003 to 3.2 million in 2004/5, thus accelerating the country’s progress towards achieving universal primary education by 2015 (ECA/UNDP Report, 2012:27). BESSIP came to an end i</w:t>
      </w:r>
      <w:r w:rsidR="007B4D6B" w:rsidRPr="004C75E0">
        <w:rPr>
          <w:rFonts w:ascii="Times New Roman" w:hAnsi="Times New Roman" w:cs="Times New Roman"/>
        </w:rPr>
        <w:t>n 2002</w:t>
      </w:r>
      <w:r w:rsidR="0050268D" w:rsidRPr="004C75E0">
        <w:rPr>
          <w:rFonts w:ascii="Times New Roman" w:hAnsi="Times New Roman" w:cs="Times New Roman"/>
        </w:rPr>
        <w:t>.</w:t>
      </w:r>
    </w:p>
    <w:p w14:paraId="0BF614CD" w14:textId="77777777" w:rsidR="0050268D" w:rsidRPr="004C75E0" w:rsidRDefault="0050268D" w:rsidP="007B4D6B">
      <w:pPr>
        <w:pStyle w:val="ListParagraph"/>
        <w:numPr>
          <w:ilvl w:val="0"/>
          <w:numId w:val="13"/>
        </w:numPr>
        <w:spacing w:line="360" w:lineRule="auto"/>
        <w:jc w:val="both"/>
        <w:rPr>
          <w:rFonts w:ascii="Times New Roman" w:hAnsi="Times New Roman" w:cs="Times New Roman"/>
          <w:b/>
        </w:rPr>
      </w:pPr>
      <w:r w:rsidRPr="004C75E0">
        <w:rPr>
          <w:rFonts w:ascii="Times New Roman" w:hAnsi="Times New Roman" w:cs="Times New Roman"/>
          <w:b/>
        </w:rPr>
        <w:t>Ministry of Education Strategic Plan (MoESP 2003-2007)</w:t>
      </w:r>
    </w:p>
    <w:p w14:paraId="7A88AE12" w14:textId="3A338F1E" w:rsidR="0050268D" w:rsidRPr="004C75E0" w:rsidRDefault="0050268D" w:rsidP="00CE6423">
      <w:pPr>
        <w:spacing w:line="360" w:lineRule="auto"/>
        <w:contextualSpacing/>
        <w:jc w:val="both"/>
        <w:rPr>
          <w:rFonts w:ascii="Times New Roman" w:hAnsi="Times New Roman" w:cs="Times New Roman"/>
        </w:rPr>
      </w:pPr>
      <w:r w:rsidRPr="004C75E0">
        <w:rPr>
          <w:rFonts w:ascii="Times New Roman" w:hAnsi="Times New Roman" w:cs="Times New Roman"/>
        </w:rPr>
        <w:t>In February 2003, the MoE launched a five-year Ministry of Education Strategic Plan (MoESP 2003-2007) as a follow-up to BESSIP. The Strategic Plan recognised the need for further investment in the education sector. At that time, Zambia did not spend heavily on education compared to surro</w:t>
      </w:r>
      <w:r w:rsidR="00073C1A">
        <w:rPr>
          <w:rFonts w:ascii="Times New Roman" w:hAnsi="Times New Roman" w:cs="Times New Roman"/>
        </w:rPr>
        <w:t>unding countries (MoE, 2003:18)</w:t>
      </w:r>
      <w:r w:rsidRPr="004C75E0">
        <w:rPr>
          <w:rFonts w:ascii="Times New Roman" w:hAnsi="Times New Roman" w:cs="Times New Roman"/>
        </w:rPr>
        <w:t>. The Sector Strategic Plan expanded the focus from basic education to the whole sector, including basic school, high school and tertiary education. Whereas the emphasis of BESSIP had been on enrolment at grades 1-7, the MoESP stressed the need to also expand enrolment in grades 8 and 9 (the higher basic education level). In addition, remote and disadvantaged areas would be given special attention. These would be targeted for additional resource allocation, teacher deployment and construction or rehabilitation of infrastructure</w:t>
      </w:r>
      <w:r w:rsidR="007B4D6B" w:rsidRPr="004C75E0">
        <w:rPr>
          <w:rFonts w:ascii="Times New Roman" w:hAnsi="Times New Roman" w:cs="Times New Roman"/>
        </w:rPr>
        <w:t xml:space="preserve"> (</w:t>
      </w:r>
      <w:r w:rsidR="00F80551" w:rsidRPr="004C75E0">
        <w:rPr>
          <w:rFonts w:ascii="Times New Roman" w:hAnsi="Times New Roman" w:cs="Times New Roman"/>
        </w:rPr>
        <w:t>MoE, 2003:19</w:t>
      </w:r>
      <w:r w:rsidR="007B4D6B" w:rsidRPr="004C75E0">
        <w:rPr>
          <w:rFonts w:ascii="Times New Roman" w:hAnsi="Times New Roman" w:cs="Times New Roman"/>
        </w:rPr>
        <w:t>).</w:t>
      </w:r>
      <w:r w:rsidRPr="004C75E0">
        <w:rPr>
          <w:rFonts w:ascii="Times New Roman" w:hAnsi="Times New Roman" w:cs="Times New Roman"/>
        </w:rPr>
        <w:t xml:space="preserve"> </w:t>
      </w:r>
    </w:p>
    <w:p w14:paraId="688AF22E" w14:textId="77777777" w:rsidR="007B4D6B" w:rsidRPr="004C75E0" w:rsidRDefault="007B4D6B" w:rsidP="00CE6423">
      <w:pPr>
        <w:spacing w:line="360" w:lineRule="auto"/>
        <w:contextualSpacing/>
        <w:jc w:val="both"/>
        <w:rPr>
          <w:rFonts w:ascii="Times New Roman" w:hAnsi="Times New Roman" w:cs="Times New Roman"/>
        </w:rPr>
      </w:pPr>
    </w:p>
    <w:p w14:paraId="3579C27A" w14:textId="069F271D" w:rsidR="00F6575E" w:rsidRPr="004C75E0" w:rsidRDefault="0050268D" w:rsidP="00CE6423">
      <w:pPr>
        <w:spacing w:line="360" w:lineRule="auto"/>
        <w:contextualSpacing/>
        <w:jc w:val="both"/>
        <w:rPr>
          <w:rFonts w:ascii="Times New Roman" w:hAnsi="Times New Roman" w:cs="Times New Roman"/>
        </w:rPr>
      </w:pPr>
      <w:r w:rsidRPr="004C75E0">
        <w:rPr>
          <w:rFonts w:ascii="Times New Roman" w:hAnsi="Times New Roman" w:cs="Times New Roman"/>
        </w:rPr>
        <w:t>For basic education</w:t>
      </w:r>
      <w:r w:rsidR="00693A1C">
        <w:rPr>
          <w:rFonts w:ascii="Times New Roman" w:hAnsi="Times New Roman" w:cs="Times New Roman"/>
        </w:rPr>
        <w:t xml:space="preserve"> (G</w:t>
      </w:r>
      <w:r w:rsidR="00073C1A">
        <w:rPr>
          <w:rFonts w:ascii="Times New Roman" w:hAnsi="Times New Roman" w:cs="Times New Roman"/>
        </w:rPr>
        <w:t>rades 1-9)</w:t>
      </w:r>
      <w:r w:rsidRPr="004C75E0">
        <w:rPr>
          <w:rFonts w:ascii="Times New Roman" w:hAnsi="Times New Roman" w:cs="Times New Roman"/>
        </w:rPr>
        <w:t>, the strategic plan set the objective of increasing the grade 7 completion rate to 85 percent by 2007. Total enrolment in the lower and middle basic levels</w:t>
      </w:r>
      <w:r w:rsidR="00693A1C">
        <w:rPr>
          <w:rFonts w:ascii="Times New Roman" w:hAnsi="Times New Roman" w:cs="Times New Roman"/>
        </w:rPr>
        <w:t xml:space="preserve"> (G</w:t>
      </w:r>
      <w:r w:rsidR="00073C1A">
        <w:rPr>
          <w:rFonts w:ascii="Times New Roman" w:hAnsi="Times New Roman" w:cs="Times New Roman"/>
        </w:rPr>
        <w:t xml:space="preserve">rades 1-7) </w:t>
      </w:r>
      <w:r w:rsidRPr="004C75E0">
        <w:rPr>
          <w:rFonts w:ascii="Times New Roman" w:hAnsi="Times New Roman" w:cs="Times New Roman"/>
        </w:rPr>
        <w:t xml:space="preserve"> was to improve from 1.9 million in 2002 to 2.3 million in 2007. Upper basic</w:t>
      </w:r>
      <w:r w:rsidR="00073C1A">
        <w:rPr>
          <w:rFonts w:ascii="Times New Roman" w:hAnsi="Times New Roman" w:cs="Times New Roman"/>
        </w:rPr>
        <w:t xml:space="preserve"> (Grades 8-9)</w:t>
      </w:r>
      <w:r w:rsidRPr="004C75E0">
        <w:rPr>
          <w:rFonts w:ascii="Times New Roman" w:hAnsi="Times New Roman" w:cs="Times New Roman"/>
        </w:rPr>
        <w:t xml:space="preserve"> enrolment was to increase by almost 50 percent (from 219,000 in 2002 to 326,000 in 2007). The MoESP intended to improve the quality of education as well. According to the strategic plan, the quality of education had been compromised by an overloaded and compartmentalised curriculum, dismal pupil teacher contact time and a lack of educatio</w:t>
      </w:r>
      <w:r w:rsidR="00F80551" w:rsidRPr="004C75E0">
        <w:rPr>
          <w:rFonts w:ascii="Times New Roman" w:hAnsi="Times New Roman" w:cs="Times New Roman"/>
        </w:rPr>
        <w:t xml:space="preserve">nal materials (MoESP 2003:23).  </w:t>
      </w:r>
      <w:r w:rsidRPr="004C75E0">
        <w:rPr>
          <w:rFonts w:ascii="Times New Roman" w:hAnsi="Times New Roman" w:cs="Times New Roman"/>
        </w:rPr>
        <w:t xml:space="preserve">There was a shortfall of 400,000 school places (8,500 classrooms) and a backlog of 6,000 teachers’ houses. Moreover, 60 percent of the classrooms and 70 percent of the teachers’ houses needed to be rehabilitated. </w:t>
      </w:r>
    </w:p>
    <w:p w14:paraId="1B268E26" w14:textId="77777777" w:rsidR="00F6575E" w:rsidRPr="004C75E0" w:rsidRDefault="00F6575E" w:rsidP="00CE6423">
      <w:pPr>
        <w:spacing w:line="360" w:lineRule="auto"/>
        <w:contextualSpacing/>
        <w:jc w:val="both"/>
        <w:rPr>
          <w:rFonts w:ascii="Times New Roman" w:hAnsi="Times New Roman" w:cs="Times New Roman"/>
        </w:rPr>
      </w:pPr>
    </w:p>
    <w:p w14:paraId="31281AC0" w14:textId="442D39D7" w:rsidR="00F80551" w:rsidRPr="004C75E0" w:rsidRDefault="0050268D" w:rsidP="00CE6423">
      <w:pPr>
        <w:spacing w:line="360" w:lineRule="auto"/>
        <w:contextualSpacing/>
        <w:jc w:val="both"/>
        <w:rPr>
          <w:rFonts w:ascii="Times New Roman" w:hAnsi="Times New Roman" w:cs="Times New Roman"/>
        </w:rPr>
      </w:pPr>
      <w:r w:rsidRPr="004C75E0">
        <w:rPr>
          <w:rFonts w:ascii="Times New Roman" w:hAnsi="Times New Roman" w:cs="Times New Roman"/>
        </w:rPr>
        <w:t>The Sector Plan sought to increase the number of teachers (especially female teachers) in rural areas by increasing incentives in terms of promotion, upgrading opportunities and hardship allowances. It was anticipated that by 2005, 39,000 teachers would be needed at the middle basic</w:t>
      </w:r>
      <w:r w:rsidR="00073C1A">
        <w:rPr>
          <w:rFonts w:ascii="Times New Roman" w:hAnsi="Times New Roman" w:cs="Times New Roman"/>
        </w:rPr>
        <w:t xml:space="preserve"> (Grades 5-7)</w:t>
      </w:r>
      <w:r w:rsidRPr="004C75E0">
        <w:rPr>
          <w:rFonts w:ascii="Times New Roman" w:hAnsi="Times New Roman" w:cs="Times New Roman"/>
        </w:rPr>
        <w:t xml:space="preserve"> level (including 6,400 private school teachers) and (an additional) 9,400 teachers at the upper basic</w:t>
      </w:r>
      <w:r w:rsidR="00073C1A">
        <w:rPr>
          <w:rFonts w:ascii="Times New Roman" w:hAnsi="Times New Roman" w:cs="Times New Roman"/>
        </w:rPr>
        <w:t xml:space="preserve"> ( Grades 8-9)</w:t>
      </w:r>
      <w:r w:rsidRPr="004C75E0">
        <w:rPr>
          <w:rFonts w:ascii="Times New Roman" w:hAnsi="Times New Roman" w:cs="Times New Roman"/>
        </w:rPr>
        <w:t xml:space="preserve"> level (including 2,100 private teachers). The (continued) use of ‘double shifting’, with more than 43 percent of the teachers taking double shifts, was regarded a necessary evil in the efficient utilisation of classrooms. </w:t>
      </w:r>
    </w:p>
    <w:p w14:paraId="6A971482" w14:textId="77777777" w:rsidR="00F80551" w:rsidRPr="004C75E0" w:rsidRDefault="00F80551" w:rsidP="00CE6423">
      <w:pPr>
        <w:spacing w:line="360" w:lineRule="auto"/>
        <w:contextualSpacing/>
        <w:jc w:val="both"/>
        <w:rPr>
          <w:rFonts w:ascii="Times New Roman" w:hAnsi="Times New Roman" w:cs="Times New Roman"/>
        </w:rPr>
      </w:pPr>
    </w:p>
    <w:p w14:paraId="40FABA7C" w14:textId="1B6CA1B3" w:rsidR="007B4D6B" w:rsidRPr="004C75E0" w:rsidRDefault="0050268D" w:rsidP="00CE6423">
      <w:pPr>
        <w:spacing w:line="360" w:lineRule="auto"/>
        <w:contextualSpacing/>
        <w:jc w:val="both"/>
        <w:rPr>
          <w:rFonts w:ascii="Times New Roman" w:hAnsi="Times New Roman" w:cs="Times New Roman"/>
        </w:rPr>
      </w:pPr>
      <w:r w:rsidRPr="004C75E0">
        <w:rPr>
          <w:rFonts w:ascii="Times New Roman" w:hAnsi="Times New Roman" w:cs="Times New Roman"/>
        </w:rPr>
        <w:t>The plan anticipated an increase in expenditure for (middle</w:t>
      </w:r>
      <w:r w:rsidR="00073C1A">
        <w:rPr>
          <w:rFonts w:ascii="Times New Roman" w:hAnsi="Times New Roman" w:cs="Times New Roman"/>
        </w:rPr>
        <w:t>) basic education (Grades 5</w:t>
      </w:r>
      <w:r w:rsidRPr="004C75E0">
        <w:rPr>
          <w:rFonts w:ascii="Times New Roman" w:hAnsi="Times New Roman" w:cs="Times New Roman"/>
        </w:rPr>
        <w:t>-7) from ZMW 215 million in 2001 (USD 77 million) to ZMW 496 million (USD 179 million) in 2006 – an increase of 131 percent (constant prices 2001). The budget share allocated to (middle) basic education</w:t>
      </w:r>
      <w:r w:rsidR="00073C1A">
        <w:rPr>
          <w:rFonts w:ascii="Times New Roman" w:hAnsi="Times New Roman" w:cs="Times New Roman"/>
        </w:rPr>
        <w:t xml:space="preserve"> (Grades 5-7)</w:t>
      </w:r>
      <w:r w:rsidRPr="004C75E0">
        <w:rPr>
          <w:rFonts w:ascii="Times New Roman" w:hAnsi="Times New Roman" w:cs="Times New Roman"/>
        </w:rPr>
        <w:t xml:space="preserve"> was to increase from 44 percent in 2001 to 53 percent in 2006. While no systematic evaluation has been done about MoESP, the evidence points to consolidation of achievements </w:t>
      </w:r>
      <w:r w:rsidR="00073C1A">
        <w:rPr>
          <w:rFonts w:ascii="Times New Roman" w:hAnsi="Times New Roman" w:cs="Times New Roman"/>
        </w:rPr>
        <w:t>recorded during BESSIP. MOESP i</w:t>
      </w:r>
      <w:r w:rsidRPr="004C75E0">
        <w:rPr>
          <w:rFonts w:ascii="Times New Roman" w:hAnsi="Times New Roman" w:cs="Times New Roman"/>
        </w:rPr>
        <w:t>s credited for ensuring a more-coordinated approach to external sector support</w:t>
      </w:r>
      <w:r w:rsidR="00112E65" w:rsidRPr="004C75E0">
        <w:rPr>
          <w:rStyle w:val="FootnoteReference"/>
          <w:rFonts w:ascii="Times New Roman" w:hAnsi="Times New Roman" w:cs="Times New Roman"/>
        </w:rPr>
        <w:footnoteReference w:id="7"/>
      </w:r>
      <w:r w:rsidRPr="004C75E0">
        <w:rPr>
          <w:rFonts w:ascii="Times New Roman" w:hAnsi="Times New Roman" w:cs="Times New Roman"/>
        </w:rPr>
        <w:t xml:space="preserve"> </w:t>
      </w:r>
      <w:r w:rsidR="00662A6F" w:rsidRPr="004C75E0">
        <w:rPr>
          <w:rFonts w:ascii="Times New Roman" w:hAnsi="Times New Roman" w:cs="Times New Roman"/>
        </w:rPr>
        <w:t xml:space="preserve">(IOB, Evaluation Report, 2008). </w:t>
      </w:r>
      <w:r w:rsidR="00F80551" w:rsidRPr="004C75E0">
        <w:rPr>
          <w:rFonts w:ascii="Times New Roman" w:hAnsi="Times New Roman" w:cs="Times New Roman"/>
        </w:rPr>
        <w:t>However, gaps noticed in respect of BESSIP’s preoccupation with inputs and enrolments and not actual learning outcomes persisted under MoESP. Access improved but quality and actual learning outcomes showed no significant improvement.</w:t>
      </w:r>
    </w:p>
    <w:p w14:paraId="6DD0F92A" w14:textId="5BD143D2" w:rsidR="007B4D6B" w:rsidRPr="004C75E0" w:rsidRDefault="00375DEE" w:rsidP="00375DEE">
      <w:pPr>
        <w:pStyle w:val="Heading3"/>
        <w:rPr>
          <w:rFonts w:ascii="Times New Roman" w:hAnsi="Times New Roman" w:cs="Times New Roman"/>
        </w:rPr>
      </w:pPr>
      <w:bookmarkStart w:id="23" w:name="_Toc458687351"/>
      <w:r w:rsidRPr="004C75E0">
        <w:rPr>
          <w:rFonts w:ascii="Times New Roman" w:hAnsi="Times New Roman" w:cs="Times New Roman"/>
        </w:rPr>
        <w:t>3.1.2</w:t>
      </w:r>
      <w:r w:rsidR="007B4D6B" w:rsidRPr="004C75E0">
        <w:rPr>
          <w:rFonts w:ascii="Times New Roman" w:hAnsi="Times New Roman" w:cs="Times New Roman"/>
        </w:rPr>
        <w:tab/>
      </w:r>
      <w:r w:rsidR="00693A1C">
        <w:rPr>
          <w:rFonts w:ascii="Times New Roman" w:hAnsi="Times New Roman" w:cs="Times New Roman"/>
        </w:rPr>
        <w:t>Appraisal of T</w:t>
      </w:r>
      <w:r w:rsidRPr="004C75E0">
        <w:rPr>
          <w:rFonts w:ascii="Times New Roman" w:hAnsi="Times New Roman" w:cs="Times New Roman"/>
        </w:rPr>
        <w:t xml:space="preserve">rends in </w:t>
      </w:r>
      <w:r w:rsidR="00693A1C">
        <w:rPr>
          <w:rFonts w:ascii="Times New Roman" w:hAnsi="Times New Roman" w:cs="Times New Roman"/>
        </w:rPr>
        <w:t>Institutional A</w:t>
      </w:r>
      <w:r w:rsidR="007B4D6B" w:rsidRPr="004C75E0">
        <w:rPr>
          <w:rFonts w:ascii="Times New Roman" w:hAnsi="Times New Roman" w:cs="Times New Roman"/>
        </w:rPr>
        <w:t>rrangements</w:t>
      </w:r>
      <w:bookmarkEnd w:id="23"/>
      <w:r w:rsidR="007B4D6B" w:rsidRPr="004C75E0">
        <w:rPr>
          <w:rFonts w:ascii="Times New Roman" w:hAnsi="Times New Roman" w:cs="Times New Roman"/>
        </w:rPr>
        <w:t xml:space="preserve"> </w:t>
      </w:r>
    </w:p>
    <w:p w14:paraId="04F3C376" w14:textId="082052DF" w:rsidR="007B4D6B" w:rsidRPr="004C75E0" w:rsidRDefault="00073C1A" w:rsidP="007B4D6B">
      <w:pPr>
        <w:spacing w:line="360" w:lineRule="auto"/>
        <w:contextualSpacing/>
        <w:jc w:val="both"/>
        <w:rPr>
          <w:rFonts w:ascii="Times New Roman" w:hAnsi="Times New Roman" w:cs="Times New Roman"/>
        </w:rPr>
      </w:pPr>
      <w:r>
        <w:rPr>
          <w:rFonts w:ascii="Times New Roman" w:hAnsi="Times New Roman" w:cs="Times New Roman"/>
        </w:rPr>
        <w:t>A</w:t>
      </w:r>
      <w:r w:rsidR="007B4D6B" w:rsidRPr="004C75E0">
        <w:rPr>
          <w:rFonts w:ascii="Times New Roman" w:hAnsi="Times New Roman" w:cs="Times New Roman"/>
        </w:rPr>
        <w:t xml:space="preserve"> feature of the 1996 Educating Our Future Policy was the introduction of a decentralised approach to educational delivery in Zambia. This culminated into the creation of over 100 education management boards. District Education Boards are responsible for (basic</w:t>
      </w:r>
      <w:r>
        <w:rPr>
          <w:rFonts w:ascii="Times New Roman" w:hAnsi="Times New Roman" w:cs="Times New Roman"/>
        </w:rPr>
        <w:t>, Grades 1-9</w:t>
      </w:r>
      <w:r w:rsidR="007B4D6B" w:rsidRPr="004C75E0">
        <w:rPr>
          <w:rFonts w:ascii="Times New Roman" w:hAnsi="Times New Roman" w:cs="Times New Roman"/>
        </w:rPr>
        <w:t>) education in a particular district and for the allocation of education facilities, including the staffing of schools. Members of the Board are appointed by the District Education Boards Secretariat (DEBS). The District Education Standards Office (DESO) is responsible for monitoring and evaluating school performance. The Provincial Education Office (PEO) is responsible for the high schools</w:t>
      </w:r>
      <w:r w:rsidR="00227268">
        <w:rPr>
          <w:rFonts w:ascii="Times New Roman" w:hAnsi="Times New Roman" w:cs="Times New Roman"/>
        </w:rPr>
        <w:t xml:space="preserve"> (Grades 10-12)</w:t>
      </w:r>
      <w:r w:rsidR="007B4D6B" w:rsidRPr="004C75E0">
        <w:rPr>
          <w:rFonts w:ascii="Times New Roman" w:hAnsi="Times New Roman" w:cs="Times New Roman"/>
        </w:rPr>
        <w:t xml:space="preserve"> and for the coordination and implementation of district programmes and the monitoring and supervision of policy standards. Public funding flows to schools through Education Boards for high schools</w:t>
      </w:r>
      <w:r w:rsidR="00227268">
        <w:rPr>
          <w:rFonts w:ascii="Times New Roman" w:hAnsi="Times New Roman" w:cs="Times New Roman"/>
        </w:rPr>
        <w:t xml:space="preserve"> (Grades 10-12)</w:t>
      </w:r>
      <w:r w:rsidR="007B4D6B" w:rsidRPr="004C75E0">
        <w:rPr>
          <w:rFonts w:ascii="Times New Roman" w:hAnsi="Times New Roman" w:cs="Times New Roman"/>
        </w:rPr>
        <w:t xml:space="preserve"> and through the DEBS for basic schools</w:t>
      </w:r>
      <w:r w:rsidR="00227268">
        <w:rPr>
          <w:rFonts w:ascii="Times New Roman" w:hAnsi="Times New Roman" w:cs="Times New Roman"/>
        </w:rPr>
        <w:t xml:space="preserve"> (Grades 1-9)</w:t>
      </w:r>
      <w:r w:rsidR="007B4D6B" w:rsidRPr="004C75E0">
        <w:rPr>
          <w:rFonts w:ascii="Times New Roman" w:hAnsi="Times New Roman" w:cs="Times New Roman"/>
        </w:rPr>
        <w:t xml:space="preserve">. Parent Teacher Associations (PTAs), introduced in the mid-1990s, act as a liaison between parents, teachers, and the school administration. They are often responsible for fundraising, formulating priorities and the allocation of funds. </w:t>
      </w:r>
    </w:p>
    <w:p w14:paraId="78C11FE7" w14:textId="5B9A1B96" w:rsidR="007B4D6B" w:rsidRPr="004C75E0" w:rsidRDefault="007B4D6B" w:rsidP="007B4D6B">
      <w:pPr>
        <w:spacing w:line="360" w:lineRule="auto"/>
        <w:contextualSpacing/>
        <w:jc w:val="both"/>
        <w:rPr>
          <w:rFonts w:ascii="Times New Roman" w:hAnsi="Times New Roman" w:cs="Times New Roman"/>
        </w:rPr>
      </w:pPr>
    </w:p>
    <w:p w14:paraId="23F1E000" w14:textId="77777777" w:rsidR="007B4D6B" w:rsidRDefault="007B4D6B" w:rsidP="00CE6423">
      <w:pPr>
        <w:spacing w:line="360" w:lineRule="auto"/>
        <w:contextualSpacing/>
        <w:jc w:val="both"/>
        <w:rPr>
          <w:rFonts w:ascii="Times New Roman" w:hAnsi="Times New Roman" w:cs="Times New Roman"/>
        </w:rPr>
      </w:pPr>
      <w:r w:rsidRPr="004C75E0">
        <w:rPr>
          <w:rFonts w:ascii="Times New Roman" w:hAnsi="Times New Roman" w:cs="Times New Roman"/>
        </w:rPr>
        <w:t>Another integral aspect of the institutional arrangement that was meant to facilitate the achievement of universal primary education in Zambia was the role of civil society. An important step in this respect was the creation of the education umbrella civ</w:t>
      </w:r>
      <w:r w:rsidR="00112E65" w:rsidRPr="004C75E0">
        <w:rPr>
          <w:rFonts w:ascii="Times New Roman" w:hAnsi="Times New Roman" w:cs="Times New Roman"/>
        </w:rPr>
        <w:t xml:space="preserve">il society organisation, </w:t>
      </w:r>
      <w:r w:rsidRPr="004C75E0">
        <w:rPr>
          <w:rFonts w:ascii="Times New Roman" w:hAnsi="Times New Roman" w:cs="Times New Roman"/>
        </w:rPr>
        <w:t>Zamb</w:t>
      </w:r>
      <w:r w:rsidR="00112E65" w:rsidRPr="004C75E0">
        <w:rPr>
          <w:rFonts w:ascii="Times New Roman" w:hAnsi="Times New Roman" w:cs="Times New Roman"/>
        </w:rPr>
        <w:t>ia National Education Coalition (ZANEC)</w:t>
      </w:r>
      <w:r w:rsidRPr="004C75E0">
        <w:rPr>
          <w:rFonts w:ascii="Times New Roman" w:hAnsi="Times New Roman" w:cs="Times New Roman"/>
        </w:rPr>
        <w:t xml:space="preserve"> in 2001. ZANEC provides a framework for coordinating all civil society non-governmental organisations in education. This includes community and faith based organisations that supplement government efforts in the provision of education. ZANEC makes its contribution through advocacy, research and capacity building of its member organisations.</w:t>
      </w:r>
    </w:p>
    <w:p w14:paraId="42213158" w14:textId="77777777" w:rsidR="00426294" w:rsidRPr="004C75E0" w:rsidRDefault="00426294" w:rsidP="00CE6423">
      <w:pPr>
        <w:spacing w:line="360" w:lineRule="auto"/>
        <w:contextualSpacing/>
        <w:jc w:val="both"/>
        <w:rPr>
          <w:rFonts w:ascii="Times New Roman" w:hAnsi="Times New Roman" w:cs="Times New Roman"/>
        </w:rPr>
      </w:pPr>
    </w:p>
    <w:p w14:paraId="112B15E0" w14:textId="77777777" w:rsidR="002D173A" w:rsidRPr="004C75E0" w:rsidRDefault="00081EE8" w:rsidP="00F23D9B">
      <w:pPr>
        <w:pStyle w:val="Heading2"/>
        <w:spacing w:line="360" w:lineRule="auto"/>
        <w:rPr>
          <w:rFonts w:ascii="Times New Roman" w:hAnsi="Times New Roman" w:cs="Times New Roman"/>
        </w:rPr>
      </w:pPr>
      <w:bookmarkStart w:id="24" w:name="_Toc458687352"/>
      <w:r w:rsidRPr="004C75E0">
        <w:rPr>
          <w:rFonts w:ascii="Times New Roman" w:hAnsi="Times New Roman" w:cs="Times New Roman"/>
        </w:rPr>
        <w:t>3.2</w:t>
      </w:r>
      <w:r w:rsidRPr="004C75E0">
        <w:rPr>
          <w:rFonts w:ascii="Times New Roman" w:hAnsi="Times New Roman" w:cs="Times New Roman"/>
        </w:rPr>
        <w:tab/>
      </w:r>
      <w:r w:rsidR="006D7FB2" w:rsidRPr="004C75E0">
        <w:rPr>
          <w:rFonts w:ascii="Times New Roman" w:hAnsi="Times New Roman" w:cs="Times New Roman"/>
        </w:rPr>
        <w:t>Trends and Patterns Towards Full Enrolment and R</w:t>
      </w:r>
      <w:r w:rsidR="001A40D8" w:rsidRPr="004C75E0">
        <w:rPr>
          <w:rFonts w:ascii="Times New Roman" w:hAnsi="Times New Roman" w:cs="Times New Roman"/>
        </w:rPr>
        <w:t>etention</w:t>
      </w:r>
      <w:bookmarkEnd w:id="24"/>
      <w:r w:rsidRPr="004C75E0">
        <w:rPr>
          <w:rFonts w:ascii="Times New Roman" w:hAnsi="Times New Roman" w:cs="Times New Roman"/>
        </w:rPr>
        <w:t xml:space="preserve"> </w:t>
      </w:r>
    </w:p>
    <w:p w14:paraId="3CF2FCDB" w14:textId="77777777" w:rsidR="00CB26A5" w:rsidRPr="004C75E0" w:rsidRDefault="00F23D9B" w:rsidP="00F23D9B">
      <w:pPr>
        <w:pStyle w:val="Heading3"/>
        <w:rPr>
          <w:rFonts w:ascii="Times New Roman" w:hAnsi="Times New Roman" w:cs="Times New Roman"/>
          <w:highlight w:val="yellow"/>
          <w:lang w:val="en-US" w:eastAsia="en-GB"/>
        </w:rPr>
      </w:pPr>
      <w:bookmarkStart w:id="25" w:name="_Toc458687353"/>
      <w:r w:rsidRPr="004C75E0">
        <w:rPr>
          <w:rFonts w:ascii="Times New Roman" w:hAnsi="Times New Roman" w:cs="Times New Roman"/>
        </w:rPr>
        <w:t>3.2.1</w:t>
      </w:r>
      <w:r w:rsidRPr="004C75E0">
        <w:rPr>
          <w:rFonts w:ascii="Times New Roman" w:hAnsi="Times New Roman" w:cs="Times New Roman"/>
        </w:rPr>
        <w:tab/>
      </w:r>
      <w:r w:rsidR="002D173A" w:rsidRPr="004C75E0">
        <w:rPr>
          <w:rFonts w:ascii="Times New Roman" w:hAnsi="Times New Roman" w:cs="Times New Roman"/>
        </w:rPr>
        <w:t xml:space="preserve">Early Childhood Care Development and Education, </w:t>
      </w:r>
      <w:r w:rsidR="00CB26A5" w:rsidRPr="004C75E0">
        <w:rPr>
          <w:rFonts w:ascii="Times New Roman" w:hAnsi="Times New Roman" w:cs="Times New Roman"/>
          <w:lang w:val="en-US" w:eastAsia="en-GB"/>
        </w:rPr>
        <w:t>ECCDE</w:t>
      </w:r>
      <w:bookmarkEnd w:id="25"/>
      <w:r w:rsidR="00425816" w:rsidRPr="004C75E0">
        <w:rPr>
          <w:rFonts w:ascii="Times New Roman" w:hAnsi="Times New Roman" w:cs="Times New Roman"/>
          <w:highlight w:val="yellow"/>
          <w:lang w:val="en-US" w:eastAsia="en-GB"/>
        </w:rPr>
        <w:t xml:space="preserve"> </w:t>
      </w:r>
    </w:p>
    <w:p w14:paraId="50DB262A" w14:textId="5B17F12E" w:rsidR="00E366F1" w:rsidRPr="004C75E0" w:rsidRDefault="002D173A" w:rsidP="00CD3E2F">
      <w:pPr>
        <w:autoSpaceDE w:val="0"/>
        <w:autoSpaceDN w:val="0"/>
        <w:adjustRightInd w:val="0"/>
        <w:spacing w:after="0" w:line="360" w:lineRule="auto"/>
        <w:jc w:val="both"/>
        <w:rPr>
          <w:rFonts w:ascii="Times New Roman" w:hAnsi="Times New Roman" w:cs="Times New Roman"/>
        </w:rPr>
      </w:pPr>
      <w:r w:rsidRPr="004C75E0">
        <w:rPr>
          <w:rFonts w:ascii="Times New Roman" w:eastAsia="Calibri" w:hAnsi="Times New Roman" w:cs="Times New Roman"/>
          <w:lang w:val="en-US" w:eastAsia="ar-SA"/>
        </w:rPr>
        <w:t>The first EFA goal aims at</w:t>
      </w:r>
      <w:r w:rsidRPr="004C75E0">
        <w:rPr>
          <w:rFonts w:ascii="Times New Roman" w:hAnsi="Times New Roman" w:cs="Times New Roman"/>
        </w:rPr>
        <w:t xml:space="preserve"> expanding and improving comprehensive early childhood care and education, especially for the most vulnerable and disadvantaged children</w:t>
      </w:r>
      <w:r w:rsidR="00E366F1" w:rsidRPr="004C75E0">
        <w:rPr>
          <w:rStyle w:val="FootnoteReference"/>
          <w:rFonts w:ascii="Times New Roman" w:hAnsi="Times New Roman" w:cs="Times New Roman"/>
        </w:rPr>
        <w:footnoteReference w:id="8"/>
      </w:r>
      <w:r w:rsidR="00CD3E2F" w:rsidRPr="004C75E0">
        <w:rPr>
          <w:rFonts w:ascii="Times New Roman" w:hAnsi="Times New Roman" w:cs="Times New Roman"/>
        </w:rPr>
        <w:t>. However, there is scanty information in terms of day care services or crèches for children up t</w:t>
      </w:r>
      <w:r w:rsidR="006E4EFF" w:rsidRPr="004C75E0">
        <w:rPr>
          <w:rFonts w:ascii="Times New Roman" w:hAnsi="Times New Roman" w:cs="Times New Roman"/>
        </w:rPr>
        <w:t>o three years old in Zambia</w:t>
      </w:r>
      <w:r w:rsidR="00CD3E2F" w:rsidRPr="004C75E0">
        <w:rPr>
          <w:rFonts w:ascii="Times New Roman" w:hAnsi="Times New Roman" w:cs="Times New Roman"/>
        </w:rPr>
        <w:t>.  Despite the fact that ECCDE is considered part of the formal education system in Zambia, the school census by the Ministry of Education does not collect data on preschool institutions and/or students aged 36-59 months. Th</w:t>
      </w:r>
      <w:r w:rsidR="00E366F1" w:rsidRPr="004C75E0">
        <w:rPr>
          <w:rFonts w:ascii="Times New Roman" w:hAnsi="Times New Roman" w:cs="Times New Roman"/>
        </w:rPr>
        <w:t xml:space="preserve">e reasons may be historical since </w:t>
      </w:r>
      <w:r w:rsidR="00CD3E2F" w:rsidRPr="004C75E0">
        <w:rPr>
          <w:rFonts w:ascii="Times New Roman" w:hAnsi="Times New Roman" w:cs="Times New Roman"/>
        </w:rPr>
        <w:t>ECCDE has not been a major responsibility of government. This has been the case for both pre</w:t>
      </w:r>
      <w:r w:rsidR="00E366F1" w:rsidRPr="004C75E0">
        <w:rPr>
          <w:rFonts w:ascii="Times New Roman" w:hAnsi="Times New Roman" w:cs="Times New Roman"/>
        </w:rPr>
        <w:t xml:space="preserve"> </w:t>
      </w:r>
      <w:r w:rsidR="00CD3E2F" w:rsidRPr="004C75E0">
        <w:rPr>
          <w:rFonts w:ascii="Times New Roman" w:hAnsi="Times New Roman" w:cs="Times New Roman"/>
        </w:rPr>
        <w:t>- and post-independence governments</w:t>
      </w:r>
      <w:r w:rsidR="006E4EFF" w:rsidRPr="004C75E0">
        <w:rPr>
          <w:rFonts w:ascii="Times New Roman" w:hAnsi="Times New Roman" w:cs="Times New Roman"/>
        </w:rPr>
        <w:t xml:space="preserve"> but this needs to change if the quality of learning is to improve in future.</w:t>
      </w:r>
    </w:p>
    <w:p w14:paraId="0253F37A" w14:textId="77777777" w:rsidR="006E4EFF" w:rsidRPr="004C75E0" w:rsidRDefault="006E4EFF" w:rsidP="00CD3E2F">
      <w:pPr>
        <w:autoSpaceDE w:val="0"/>
        <w:autoSpaceDN w:val="0"/>
        <w:adjustRightInd w:val="0"/>
        <w:spacing w:after="0" w:line="360" w:lineRule="auto"/>
        <w:jc w:val="both"/>
        <w:rPr>
          <w:rFonts w:ascii="Times New Roman" w:hAnsi="Times New Roman" w:cs="Times New Roman"/>
        </w:rPr>
      </w:pPr>
    </w:p>
    <w:p w14:paraId="69B0371B" w14:textId="77777777" w:rsidR="00C93609" w:rsidRPr="004C75E0" w:rsidRDefault="00CD3E2F" w:rsidP="00CD3E2F">
      <w:pPr>
        <w:autoSpaceDE w:val="0"/>
        <w:autoSpaceDN w:val="0"/>
        <w:adjustRightInd w:val="0"/>
        <w:spacing w:after="0" w:line="360" w:lineRule="auto"/>
        <w:jc w:val="both"/>
        <w:rPr>
          <w:rFonts w:ascii="Times New Roman" w:hAnsi="Times New Roman" w:cs="Times New Roman"/>
        </w:rPr>
      </w:pPr>
      <w:r w:rsidRPr="004C75E0">
        <w:rPr>
          <w:rFonts w:ascii="Times New Roman" w:hAnsi="Times New Roman" w:cs="Times New Roman"/>
        </w:rPr>
        <w:t>In colonial times, Sub O education was offered for one year and included learning to write letters of the alphabet, on the ground, for African children. This was the closest the system then came to offering ECCDE. Later, the colonial government came up with Day Nursery Act of 1957 to benefit local children. After independence, the government established nurseries and pre-schools through the Ministry of Local Government and Housing. These were mainly located in welfare halls. The level of participation though remained low and by the middle 1980s this provision had fizzled off. Since then, ECCDE has been more of a priva</w:t>
      </w:r>
      <w:r w:rsidR="00013E1A" w:rsidRPr="004C75E0">
        <w:rPr>
          <w:rFonts w:ascii="Times New Roman" w:hAnsi="Times New Roman" w:cs="Times New Roman"/>
        </w:rPr>
        <w:t>te sector initiative concentrated</w:t>
      </w:r>
      <w:r w:rsidR="00C93609" w:rsidRPr="004C75E0">
        <w:rPr>
          <w:rFonts w:ascii="Times New Roman" w:hAnsi="Times New Roman" w:cs="Times New Roman"/>
        </w:rPr>
        <w:t xml:space="preserve"> in urban areas. </w:t>
      </w:r>
    </w:p>
    <w:p w14:paraId="283EF1F6" w14:textId="77777777" w:rsidR="00C93609" w:rsidRPr="004C75E0" w:rsidRDefault="00C93609" w:rsidP="00CD3E2F">
      <w:pPr>
        <w:autoSpaceDE w:val="0"/>
        <w:autoSpaceDN w:val="0"/>
        <w:adjustRightInd w:val="0"/>
        <w:spacing w:after="0" w:line="360" w:lineRule="auto"/>
        <w:jc w:val="both"/>
        <w:rPr>
          <w:rFonts w:ascii="Times New Roman" w:hAnsi="Times New Roman" w:cs="Times New Roman"/>
        </w:rPr>
      </w:pPr>
    </w:p>
    <w:p w14:paraId="11D52B1C" w14:textId="4F01C1FB" w:rsidR="009670C1" w:rsidRDefault="00C93609" w:rsidP="009B065B">
      <w:pPr>
        <w:autoSpaceDE w:val="0"/>
        <w:autoSpaceDN w:val="0"/>
        <w:adjustRightInd w:val="0"/>
        <w:spacing w:after="0" w:line="360" w:lineRule="auto"/>
        <w:jc w:val="both"/>
        <w:rPr>
          <w:rFonts w:ascii="Times New Roman" w:hAnsi="Times New Roman" w:cs="Times New Roman"/>
        </w:rPr>
      </w:pPr>
      <w:r w:rsidRPr="004C75E0">
        <w:rPr>
          <w:rFonts w:ascii="Times New Roman" w:hAnsi="Times New Roman" w:cs="Times New Roman"/>
        </w:rPr>
        <w:t>T</w:t>
      </w:r>
      <w:r w:rsidR="00E366F1" w:rsidRPr="004C75E0">
        <w:rPr>
          <w:rFonts w:ascii="Times New Roman" w:hAnsi="Times New Roman" w:cs="Times New Roman"/>
        </w:rPr>
        <w:t>he bottom line is clear-</w:t>
      </w:r>
      <w:r w:rsidRPr="004C75E0">
        <w:rPr>
          <w:rFonts w:ascii="Times New Roman" w:hAnsi="Times New Roman" w:cs="Times New Roman"/>
        </w:rPr>
        <w:t xml:space="preserve"> </w:t>
      </w:r>
      <w:r w:rsidR="00E366F1" w:rsidRPr="004C75E0">
        <w:rPr>
          <w:rFonts w:ascii="Times New Roman" w:hAnsi="Times New Roman" w:cs="Times New Roman"/>
        </w:rPr>
        <w:t xml:space="preserve">there is a </w:t>
      </w:r>
      <w:r w:rsidRPr="004C75E0">
        <w:rPr>
          <w:rFonts w:ascii="Times New Roman" w:hAnsi="Times New Roman" w:cs="Times New Roman"/>
        </w:rPr>
        <w:t>gap in official responsibility for</w:t>
      </w:r>
      <w:r w:rsidR="004857D2">
        <w:rPr>
          <w:rFonts w:ascii="Times New Roman" w:hAnsi="Times New Roman" w:cs="Times New Roman"/>
        </w:rPr>
        <w:t xml:space="preserve"> financing</w:t>
      </w:r>
      <w:r w:rsidRPr="004C75E0">
        <w:rPr>
          <w:rFonts w:ascii="Times New Roman" w:hAnsi="Times New Roman" w:cs="Times New Roman"/>
        </w:rPr>
        <w:t xml:space="preserve"> ECCDE in the country</w:t>
      </w:r>
      <w:r w:rsidR="00E366F1" w:rsidRPr="004C75E0">
        <w:rPr>
          <w:rFonts w:ascii="Times New Roman" w:hAnsi="Times New Roman" w:cs="Times New Roman"/>
        </w:rPr>
        <w:t xml:space="preserve">. </w:t>
      </w:r>
      <w:r w:rsidR="004857D2">
        <w:rPr>
          <w:rFonts w:ascii="Times New Roman" w:hAnsi="Times New Roman" w:cs="Times New Roman"/>
        </w:rPr>
        <w:t>Despite inclusion of the ECCDE sub-sector as a priority in national development and education sector plans, financing is almost negligible, especially considering rising demands.  Over the period 2012- 2014, ECCDE received annually around 0.1 percent of the total education budget compared with 63 percent received by the basic education (Grades 1-9) sub-sector (UNICEF, 2014:131). The</w:t>
      </w:r>
      <w:r w:rsidR="00E366F1" w:rsidRPr="004C75E0">
        <w:rPr>
          <w:rFonts w:ascii="Times New Roman" w:hAnsi="Times New Roman" w:cs="Times New Roman"/>
        </w:rPr>
        <w:t xml:space="preserve"> trend is</w:t>
      </w:r>
      <w:r w:rsidRPr="004C75E0">
        <w:rPr>
          <w:rFonts w:ascii="Times New Roman" w:hAnsi="Times New Roman" w:cs="Times New Roman"/>
        </w:rPr>
        <w:t xml:space="preserve"> also reflected in the National Implementation Framework (NIF) III 2011-2015 projections</w:t>
      </w:r>
      <w:r w:rsidR="003F11D2">
        <w:rPr>
          <w:rStyle w:val="FootnoteReference"/>
          <w:rFonts w:ascii="Times New Roman" w:hAnsi="Times New Roman" w:cs="Times New Roman"/>
        </w:rPr>
        <w:footnoteReference w:id="9"/>
      </w:r>
      <w:r w:rsidRPr="004C75E0">
        <w:rPr>
          <w:rFonts w:ascii="Times New Roman" w:hAnsi="Times New Roman" w:cs="Times New Roman"/>
        </w:rPr>
        <w:t>, that set aside to ECCDE only an average of 0.1 percent annually.</w:t>
      </w:r>
      <w:r w:rsidR="00E366F1" w:rsidRPr="004C75E0">
        <w:rPr>
          <w:rFonts w:ascii="Times New Roman" w:hAnsi="Times New Roman" w:cs="Times New Roman"/>
        </w:rPr>
        <w:t xml:space="preserve"> </w:t>
      </w:r>
      <w:r w:rsidR="006E4EFF" w:rsidRPr="004C75E0">
        <w:rPr>
          <w:rFonts w:ascii="Times New Roman" w:hAnsi="Times New Roman" w:cs="Times New Roman"/>
        </w:rPr>
        <w:t>Unfortunately</w:t>
      </w:r>
      <w:r w:rsidR="00E366F1" w:rsidRPr="004C75E0">
        <w:rPr>
          <w:rFonts w:ascii="Times New Roman" w:hAnsi="Times New Roman" w:cs="Times New Roman"/>
        </w:rPr>
        <w:t>, t</w:t>
      </w:r>
      <w:r w:rsidRPr="004C75E0">
        <w:rPr>
          <w:rFonts w:ascii="Times New Roman" w:hAnsi="Times New Roman" w:cs="Times New Roman"/>
        </w:rPr>
        <w:t>he lack of EC</w:t>
      </w:r>
      <w:r w:rsidR="006E4EFF" w:rsidRPr="004C75E0">
        <w:rPr>
          <w:rFonts w:ascii="Times New Roman" w:hAnsi="Times New Roman" w:cs="Times New Roman"/>
        </w:rPr>
        <w:t>C</w:t>
      </w:r>
      <w:r w:rsidRPr="004C75E0">
        <w:rPr>
          <w:rFonts w:ascii="Times New Roman" w:hAnsi="Times New Roman" w:cs="Times New Roman"/>
        </w:rPr>
        <w:t>D</w:t>
      </w:r>
      <w:r w:rsidR="006E4EFF" w:rsidRPr="004C75E0">
        <w:rPr>
          <w:rFonts w:ascii="Times New Roman" w:hAnsi="Times New Roman" w:cs="Times New Roman"/>
        </w:rPr>
        <w:t>E</w:t>
      </w:r>
      <w:r w:rsidRPr="004C75E0">
        <w:rPr>
          <w:rFonts w:ascii="Times New Roman" w:hAnsi="Times New Roman" w:cs="Times New Roman"/>
        </w:rPr>
        <w:t xml:space="preserve"> </w:t>
      </w:r>
      <w:r w:rsidR="002D173A" w:rsidRPr="004C75E0">
        <w:rPr>
          <w:rFonts w:ascii="Times New Roman" w:hAnsi="Times New Roman" w:cs="Times New Roman"/>
        </w:rPr>
        <w:t>services increases</w:t>
      </w:r>
      <w:r w:rsidRPr="004C75E0">
        <w:rPr>
          <w:rFonts w:ascii="Times New Roman" w:hAnsi="Times New Roman" w:cs="Times New Roman"/>
        </w:rPr>
        <w:t xml:space="preserve"> the risk of children entering school unprepared which subsequently affects their future learning.</w:t>
      </w:r>
      <w:r w:rsidR="00686487" w:rsidRPr="004C75E0">
        <w:rPr>
          <w:rFonts w:ascii="Times New Roman" w:hAnsi="Times New Roman" w:cs="Times New Roman"/>
        </w:rPr>
        <w:t xml:space="preserve"> </w:t>
      </w:r>
      <w:r w:rsidR="006E4EFF" w:rsidRPr="004C75E0">
        <w:rPr>
          <w:rFonts w:ascii="Times New Roman" w:hAnsi="Times New Roman" w:cs="Times New Roman"/>
        </w:rPr>
        <w:t>Figure 3.1</w:t>
      </w:r>
      <w:r w:rsidR="00FE45DB" w:rsidRPr="004C75E0">
        <w:rPr>
          <w:rFonts w:ascii="Times New Roman" w:hAnsi="Times New Roman" w:cs="Times New Roman"/>
        </w:rPr>
        <w:t xml:space="preserve"> provides</w:t>
      </w:r>
      <w:r w:rsidR="009670C1" w:rsidRPr="004C75E0">
        <w:rPr>
          <w:rFonts w:ascii="Times New Roman" w:hAnsi="Times New Roman" w:cs="Times New Roman"/>
        </w:rPr>
        <w:t xml:space="preserve"> current trends in grade 1 entrants with pre-school experien</w:t>
      </w:r>
      <w:r w:rsidR="003F11D2">
        <w:rPr>
          <w:rFonts w:ascii="Times New Roman" w:hAnsi="Times New Roman" w:cs="Times New Roman"/>
        </w:rPr>
        <w:t>ce at the national level for the period</w:t>
      </w:r>
      <w:r w:rsidR="002D173A" w:rsidRPr="004C75E0">
        <w:rPr>
          <w:rFonts w:ascii="Times New Roman" w:hAnsi="Times New Roman" w:cs="Times New Roman"/>
        </w:rPr>
        <w:t xml:space="preserve"> 2004 to 2014</w:t>
      </w:r>
      <w:r w:rsidR="006E4EFF" w:rsidRPr="004C75E0">
        <w:rPr>
          <w:rFonts w:ascii="Times New Roman" w:hAnsi="Times New Roman" w:cs="Times New Roman"/>
        </w:rPr>
        <w:t>.</w:t>
      </w:r>
    </w:p>
    <w:p w14:paraId="39E38240" w14:textId="77777777" w:rsidR="009F49ED" w:rsidRDefault="009F49ED" w:rsidP="009B065B">
      <w:pPr>
        <w:autoSpaceDE w:val="0"/>
        <w:autoSpaceDN w:val="0"/>
        <w:adjustRightInd w:val="0"/>
        <w:spacing w:after="0" w:line="360" w:lineRule="auto"/>
        <w:jc w:val="both"/>
        <w:rPr>
          <w:rFonts w:ascii="Times New Roman" w:hAnsi="Times New Roman" w:cs="Times New Roman"/>
        </w:rPr>
      </w:pPr>
    </w:p>
    <w:p w14:paraId="7E77D783" w14:textId="77777777" w:rsidR="00FE45DB" w:rsidRPr="004C75E0" w:rsidRDefault="00FE45DB" w:rsidP="009B065B">
      <w:pPr>
        <w:autoSpaceDE w:val="0"/>
        <w:autoSpaceDN w:val="0"/>
        <w:adjustRightInd w:val="0"/>
        <w:spacing w:after="0" w:line="360" w:lineRule="auto"/>
        <w:jc w:val="both"/>
        <w:rPr>
          <w:rFonts w:ascii="Times New Roman" w:hAnsi="Times New Roman" w:cs="Times New Roman"/>
          <w:b/>
        </w:rPr>
      </w:pPr>
      <w:r w:rsidRPr="004C75E0">
        <w:rPr>
          <w:rFonts w:ascii="Times New Roman" w:hAnsi="Times New Roman" w:cs="Times New Roman"/>
          <w:b/>
        </w:rPr>
        <w:t xml:space="preserve">Figure </w:t>
      </w:r>
      <w:r w:rsidR="006E4EFF" w:rsidRPr="004C75E0">
        <w:rPr>
          <w:rFonts w:ascii="Times New Roman" w:hAnsi="Times New Roman" w:cs="Times New Roman"/>
          <w:b/>
        </w:rPr>
        <w:t>3.</w:t>
      </w:r>
      <w:r w:rsidRPr="004C75E0">
        <w:rPr>
          <w:rFonts w:ascii="Times New Roman" w:hAnsi="Times New Roman" w:cs="Times New Roman"/>
          <w:b/>
        </w:rPr>
        <w:t>1</w:t>
      </w:r>
      <w:r w:rsidR="007D428E" w:rsidRPr="004C75E0">
        <w:rPr>
          <w:rFonts w:ascii="Times New Roman" w:hAnsi="Times New Roman" w:cs="Times New Roman"/>
          <w:b/>
        </w:rPr>
        <w:t>: Trends in Grade One Entrants with Pre-school Experience, 2004-2014</w:t>
      </w:r>
    </w:p>
    <w:p w14:paraId="5693AB7C" w14:textId="77777777" w:rsidR="009670C1" w:rsidRPr="004C75E0" w:rsidRDefault="00600C61" w:rsidP="009B065B">
      <w:pPr>
        <w:autoSpaceDE w:val="0"/>
        <w:autoSpaceDN w:val="0"/>
        <w:adjustRightInd w:val="0"/>
        <w:spacing w:after="0" w:line="360" w:lineRule="auto"/>
        <w:jc w:val="both"/>
        <w:rPr>
          <w:rFonts w:ascii="Times New Roman" w:hAnsi="Times New Roman" w:cs="Times New Roman"/>
        </w:rPr>
      </w:pPr>
      <w:r w:rsidRPr="004C75E0">
        <w:rPr>
          <w:rFonts w:ascii="Times New Roman" w:hAnsi="Times New Roman" w:cs="Times New Roman"/>
          <w:noProof/>
          <w:lang w:val="en-US"/>
        </w:rPr>
        <w:drawing>
          <wp:inline distT="0" distB="0" distL="0" distR="0" wp14:anchorId="4D8A2C22" wp14:editId="48CBE892">
            <wp:extent cx="5867400" cy="2009775"/>
            <wp:effectExtent l="0" t="0" r="0"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A26874A" w14:textId="77777777" w:rsidR="009670C1" w:rsidRPr="004C75E0" w:rsidRDefault="007D428E" w:rsidP="009B065B">
      <w:pPr>
        <w:autoSpaceDE w:val="0"/>
        <w:autoSpaceDN w:val="0"/>
        <w:adjustRightInd w:val="0"/>
        <w:spacing w:after="0" w:line="360" w:lineRule="auto"/>
        <w:jc w:val="both"/>
        <w:rPr>
          <w:rFonts w:ascii="Times New Roman" w:hAnsi="Times New Roman" w:cs="Times New Roman"/>
        </w:rPr>
      </w:pPr>
      <w:r w:rsidRPr="004C75E0">
        <w:rPr>
          <w:rFonts w:ascii="Times New Roman" w:hAnsi="Times New Roman" w:cs="Times New Roman"/>
          <w:b/>
        </w:rPr>
        <w:t>Source</w:t>
      </w:r>
      <w:r w:rsidRPr="004C75E0">
        <w:rPr>
          <w:rFonts w:ascii="Times New Roman" w:hAnsi="Times New Roman" w:cs="Times New Roman"/>
        </w:rPr>
        <w:t>: Education Statistical Bulletins, MOE.</w:t>
      </w:r>
    </w:p>
    <w:p w14:paraId="33211A85" w14:textId="77777777" w:rsidR="004C75E0" w:rsidRDefault="004C75E0" w:rsidP="00686487">
      <w:pPr>
        <w:autoSpaceDE w:val="0"/>
        <w:autoSpaceDN w:val="0"/>
        <w:adjustRightInd w:val="0"/>
        <w:spacing w:after="0" w:line="360" w:lineRule="auto"/>
        <w:jc w:val="both"/>
        <w:rPr>
          <w:rFonts w:ascii="Times New Roman" w:hAnsi="Times New Roman" w:cs="Times New Roman"/>
        </w:rPr>
      </w:pPr>
    </w:p>
    <w:p w14:paraId="180324E1" w14:textId="77777777" w:rsidR="00686487" w:rsidRPr="004C75E0" w:rsidRDefault="00CA52C7" w:rsidP="00686487">
      <w:pPr>
        <w:autoSpaceDE w:val="0"/>
        <w:autoSpaceDN w:val="0"/>
        <w:adjustRightInd w:val="0"/>
        <w:spacing w:after="0" w:line="360" w:lineRule="auto"/>
        <w:jc w:val="both"/>
        <w:rPr>
          <w:rFonts w:ascii="Times New Roman" w:hAnsi="Times New Roman" w:cs="Times New Roman"/>
        </w:rPr>
      </w:pPr>
      <w:r w:rsidRPr="004C75E0">
        <w:rPr>
          <w:rFonts w:ascii="Times New Roman" w:hAnsi="Times New Roman" w:cs="Times New Roman"/>
        </w:rPr>
        <w:t>As seen from F</w:t>
      </w:r>
      <w:r w:rsidR="007D428E" w:rsidRPr="004C75E0">
        <w:rPr>
          <w:rFonts w:ascii="Times New Roman" w:hAnsi="Times New Roman" w:cs="Times New Roman"/>
        </w:rPr>
        <w:t xml:space="preserve">igure </w:t>
      </w:r>
      <w:r w:rsidR="006E4EFF" w:rsidRPr="004C75E0">
        <w:rPr>
          <w:rFonts w:ascii="Times New Roman" w:hAnsi="Times New Roman" w:cs="Times New Roman"/>
        </w:rPr>
        <w:t>3.1</w:t>
      </w:r>
      <w:r w:rsidR="007D428E" w:rsidRPr="004C75E0">
        <w:rPr>
          <w:rFonts w:ascii="Times New Roman" w:hAnsi="Times New Roman" w:cs="Times New Roman"/>
        </w:rPr>
        <w:t>,</w:t>
      </w:r>
      <w:r w:rsidR="00866383" w:rsidRPr="004C75E0">
        <w:rPr>
          <w:rFonts w:ascii="Times New Roman" w:hAnsi="Times New Roman" w:cs="Times New Roman"/>
        </w:rPr>
        <w:t xml:space="preserve"> </w:t>
      </w:r>
      <w:r w:rsidR="007D428E" w:rsidRPr="004C75E0">
        <w:rPr>
          <w:rFonts w:ascii="Times New Roman" w:hAnsi="Times New Roman" w:cs="Times New Roman"/>
        </w:rPr>
        <w:t xml:space="preserve">in 2004 which marks the commencement of EFA goals, </w:t>
      </w:r>
      <w:r w:rsidR="00866383" w:rsidRPr="004C75E0">
        <w:rPr>
          <w:rFonts w:ascii="Times New Roman" w:hAnsi="Times New Roman" w:cs="Times New Roman"/>
        </w:rPr>
        <w:t xml:space="preserve">15.9 percent of the students in Grade 1 </w:t>
      </w:r>
      <w:r w:rsidR="007D428E" w:rsidRPr="004C75E0">
        <w:rPr>
          <w:rFonts w:ascii="Times New Roman" w:hAnsi="Times New Roman" w:cs="Times New Roman"/>
        </w:rPr>
        <w:t xml:space="preserve">came from preschool facilities. This rose </w:t>
      </w:r>
      <w:r w:rsidRPr="004C75E0">
        <w:rPr>
          <w:rFonts w:ascii="Times New Roman" w:hAnsi="Times New Roman" w:cs="Times New Roman"/>
        </w:rPr>
        <w:t>marginally</w:t>
      </w:r>
      <w:r w:rsidR="007D428E" w:rsidRPr="004C75E0">
        <w:rPr>
          <w:rFonts w:ascii="Times New Roman" w:hAnsi="Times New Roman" w:cs="Times New Roman"/>
        </w:rPr>
        <w:t xml:space="preserve"> to 17 percent in 2010 and further to 18.7 in 2013 before declining to 15.4 percent in 2014. </w:t>
      </w:r>
      <w:r w:rsidRPr="004C75E0">
        <w:rPr>
          <w:rFonts w:ascii="Times New Roman" w:hAnsi="Times New Roman" w:cs="Times New Roman"/>
        </w:rPr>
        <w:t xml:space="preserve">The EFA target was to reach 50 percent in 2015. </w:t>
      </w:r>
      <w:r w:rsidR="006E4EFF" w:rsidRPr="004C75E0">
        <w:rPr>
          <w:rFonts w:ascii="Times New Roman" w:hAnsi="Times New Roman" w:cs="Times New Roman"/>
        </w:rPr>
        <w:t xml:space="preserve">This was not met. </w:t>
      </w:r>
      <w:r w:rsidRPr="004C75E0">
        <w:rPr>
          <w:rFonts w:ascii="Times New Roman" w:hAnsi="Times New Roman" w:cs="Times New Roman"/>
        </w:rPr>
        <w:t xml:space="preserve">A huge gap to the EFA target, therefore exits. </w:t>
      </w:r>
      <w:r w:rsidR="0046701E" w:rsidRPr="004C75E0">
        <w:rPr>
          <w:rFonts w:ascii="Times New Roman" w:hAnsi="Times New Roman" w:cs="Times New Roman"/>
        </w:rPr>
        <w:t>This is confi</w:t>
      </w:r>
      <w:r w:rsidRPr="004C75E0">
        <w:rPr>
          <w:rFonts w:ascii="Times New Roman" w:hAnsi="Times New Roman" w:cs="Times New Roman"/>
        </w:rPr>
        <w:t>rmed by the UNICEF Zambia (2013</w:t>
      </w:r>
      <w:r w:rsidR="0046701E" w:rsidRPr="004C75E0">
        <w:rPr>
          <w:rFonts w:ascii="Times New Roman" w:hAnsi="Times New Roman" w:cs="Times New Roman"/>
        </w:rPr>
        <w:t xml:space="preserve">) study which points out that only a minority of pre-primary age children are attending preschool. </w:t>
      </w:r>
    </w:p>
    <w:p w14:paraId="4BAA86EE" w14:textId="77777777" w:rsidR="00B84111" w:rsidRPr="004C75E0" w:rsidRDefault="00B84111" w:rsidP="00686487">
      <w:pPr>
        <w:autoSpaceDE w:val="0"/>
        <w:autoSpaceDN w:val="0"/>
        <w:adjustRightInd w:val="0"/>
        <w:spacing w:after="0" w:line="360" w:lineRule="auto"/>
        <w:jc w:val="both"/>
        <w:rPr>
          <w:rFonts w:ascii="Times New Roman" w:hAnsi="Times New Roman" w:cs="Times New Roman"/>
        </w:rPr>
      </w:pPr>
    </w:p>
    <w:p w14:paraId="68074554" w14:textId="4BD0C886" w:rsidR="0046701E" w:rsidRPr="004C75E0" w:rsidRDefault="003F11D2" w:rsidP="009B065B">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UNICEF Zambia (2014</w:t>
      </w:r>
      <w:r w:rsidR="006E4EFF" w:rsidRPr="004C75E0">
        <w:rPr>
          <w:rFonts w:ascii="Times New Roman" w:hAnsi="Times New Roman" w:cs="Times New Roman"/>
        </w:rPr>
        <w:t>) reports that t</w:t>
      </w:r>
      <w:r w:rsidR="0046701E" w:rsidRPr="004C75E0">
        <w:rPr>
          <w:rFonts w:ascii="Times New Roman" w:hAnsi="Times New Roman" w:cs="Times New Roman"/>
        </w:rPr>
        <w:t xml:space="preserve">he causes of low enrolment in ECCDE are connected mainly to the </w:t>
      </w:r>
      <w:r w:rsidR="0046701E" w:rsidRPr="004C75E0">
        <w:rPr>
          <w:rFonts w:ascii="Times New Roman" w:hAnsi="Times New Roman" w:cs="Times New Roman"/>
          <w:bCs/>
        </w:rPr>
        <w:t>supply</w:t>
      </w:r>
      <w:r w:rsidR="0046701E" w:rsidRPr="004C75E0">
        <w:rPr>
          <w:rFonts w:ascii="Times New Roman" w:hAnsi="Times New Roman" w:cs="Times New Roman"/>
          <w:b/>
          <w:bCs/>
        </w:rPr>
        <w:t xml:space="preserve"> </w:t>
      </w:r>
      <w:r w:rsidR="0046701E" w:rsidRPr="004C75E0">
        <w:rPr>
          <w:rFonts w:ascii="Times New Roman" w:hAnsi="Times New Roman" w:cs="Times New Roman"/>
        </w:rPr>
        <w:t xml:space="preserve">and demand of services in the country. There is no adequate supply in Zambia. The fact that many children younger than seven years old are attending Grade 1 is one indication that the supply of preschools for children three to six years old is not enough. </w:t>
      </w:r>
      <w:r w:rsidR="006E4EFF" w:rsidRPr="004C75E0">
        <w:rPr>
          <w:rFonts w:ascii="Times New Roman" w:hAnsi="Times New Roman" w:cs="Times New Roman"/>
        </w:rPr>
        <w:t>Besides, t</w:t>
      </w:r>
      <w:r w:rsidR="0046701E" w:rsidRPr="004C75E0">
        <w:rPr>
          <w:rFonts w:ascii="Times New Roman" w:hAnsi="Times New Roman" w:cs="Times New Roman"/>
        </w:rPr>
        <w:t xml:space="preserve">he country has insufficient human resources and capacity to effectively coordinate early childhood </w:t>
      </w:r>
      <w:r w:rsidR="00295396" w:rsidRPr="004C75E0">
        <w:rPr>
          <w:rFonts w:ascii="Times New Roman" w:hAnsi="Times New Roman" w:cs="Times New Roman"/>
        </w:rPr>
        <w:t xml:space="preserve">programmes. </w:t>
      </w:r>
      <w:r w:rsidR="0046701E" w:rsidRPr="004C75E0">
        <w:rPr>
          <w:rFonts w:ascii="Times New Roman" w:hAnsi="Times New Roman" w:cs="Times New Roman"/>
        </w:rPr>
        <w:t>There are few ECCDE teacher training colleges and employment opportunities are poor, leading to a lack of attraction for this ar</w:t>
      </w:r>
      <w:r w:rsidR="00295396" w:rsidRPr="004C75E0">
        <w:rPr>
          <w:rFonts w:ascii="Times New Roman" w:hAnsi="Times New Roman" w:cs="Times New Roman"/>
        </w:rPr>
        <w:t>ea of work (UNICEF Zambia, 2012</w:t>
      </w:r>
      <w:r w:rsidR="0046701E" w:rsidRPr="004C75E0">
        <w:rPr>
          <w:rFonts w:ascii="Times New Roman" w:hAnsi="Times New Roman" w:cs="Times New Roman"/>
        </w:rPr>
        <w:t>).</w:t>
      </w:r>
      <w:r w:rsidR="00154DA7" w:rsidRPr="004C75E0">
        <w:rPr>
          <w:rFonts w:ascii="Times New Roman" w:hAnsi="Times New Roman" w:cs="Times New Roman"/>
        </w:rPr>
        <w:t xml:space="preserve"> Indeed, while the percent of trained teachers in education was one of the indicators to monitor progress of the EC</w:t>
      </w:r>
      <w:r w:rsidR="00662A6F" w:rsidRPr="004C75E0">
        <w:rPr>
          <w:rFonts w:ascii="Times New Roman" w:hAnsi="Times New Roman" w:cs="Times New Roman"/>
        </w:rPr>
        <w:t xml:space="preserve">CDE goal, it is </w:t>
      </w:r>
      <w:r w:rsidR="009C73FF" w:rsidRPr="004C75E0">
        <w:rPr>
          <w:rFonts w:ascii="Times New Roman" w:hAnsi="Times New Roman" w:cs="Times New Roman"/>
        </w:rPr>
        <w:t>unclear to</w:t>
      </w:r>
      <w:r w:rsidR="00154DA7" w:rsidRPr="004C75E0">
        <w:rPr>
          <w:rFonts w:ascii="Times New Roman" w:hAnsi="Times New Roman" w:cs="Times New Roman"/>
        </w:rPr>
        <w:t xml:space="preserve"> what extent this was achieved. Preliminary data suggests a commitment was made by the government to deploy 1,000 ECCDE teachers per year between 2014 and 2020. </w:t>
      </w:r>
      <w:r w:rsidR="0046701E" w:rsidRPr="004C75E0">
        <w:rPr>
          <w:rFonts w:ascii="Times New Roman" w:hAnsi="Times New Roman" w:cs="Times New Roman"/>
        </w:rPr>
        <w:t xml:space="preserve"> </w:t>
      </w:r>
      <w:r w:rsidR="00154DA7" w:rsidRPr="004C75E0">
        <w:rPr>
          <w:rFonts w:ascii="Times New Roman" w:hAnsi="Times New Roman" w:cs="Times New Roman"/>
        </w:rPr>
        <w:t xml:space="preserve">However, given that </w:t>
      </w:r>
      <w:r w:rsidR="0046701E" w:rsidRPr="004C75E0">
        <w:rPr>
          <w:rFonts w:ascii="Times New Roman" w:hAnsi="Times New Roman" w:cs="Times New Roman"/>
        </w:rPr>
        <w:t>National ECCDE curriculum frameworks and policies are in draft form</w:t>
      </w:r>
      <w:r w:rsidR="00154DA7" w:rsidRPr="004C75E0">
        <w:rPr>
          <w:rFonts w:ascii="Times New Roman" w:hAnsi="Times New Roman" w:cs="Times New Roman"/>
        </w:rPr>
        <w:t>, it may not be until much later that this is realised</w:t>
      </w:r>
      <w:r w:rsidR="0046701E" w:rsidRPr="004C75E0">
        <w:rPr>
          <w:rFonts w:ascii="Times New Roman" w:hAnsi="Times New Roman" w:cs="Times New Roman"/>
        </w:rPr>
        <w:t xml:space="preserve">. </w:t>
      </w:r>
      <w:r w:rsidR="00154DA7" w:rsidRPr="004C75E0">
        <w:rPr>
          <w:rFonts w:ascii="Times New Roman" w:hAnsi="Times New Roman" w:cs="Times New Roman"/>
        </w:rPr>
        <w:t xml:space="preserve">Incidentally, </w:t>
      </w:r>
      <w:r w:rsidR="0046701E" w:rsidRPr="004C75E0">
        <w:rPr>
          <w:rFonts w:ascii="Times New Roman" w:hAnsi="Times New Roman" w:cs="Times New Roman"/>
        </w:rPr>
        <w:t>ECCDE is not yet seen as a priority by many cooperating partners and therefore attracts limited resources.</w:t>
      </w:r>
    </w:p>
    <w:p w14:paraId="79FBA4CB" w14:textId="77777777" w:rsidR="0046701E" w:rsidRPr="004C75E0" w:rsidRDefault="0046701E" w:rsidP="009B065B">
      <w:pPr>
        <w:autoSpaceDE w:val="0"/>
        <w:autoSpaceDN w:val="0"/>
        <w:adjustRightInd w:val="0"/>
        <w:spacing w:after="0" w:line="360" w:lineRule="auto"/>
        <w:jc w:val="both"/>
        <w:rPr>
          <w:rFonts w:ascii="Times New Roman" w:hAnsi="Times New Roman" w:cs="Times New Roman"/>
        </w:rPr>
      </w:pPr>
    </w:p>
    <w:p w14:paraId="45EDF48F" w14:textId="0EB91657" w:rsidR="0046701E" w:rsidRPr="004C75E0" w:rsidRDefault="0046701E" w:rsidP="009B065B">
      <w:pPr>
        <w:autoSpaceDE w:val="0"/>
        <w:autoSpaceDN w:val="0"/>
        <w:adjustRightInd w:val="0"/>
        <w:spacing w:after="0" w:line="360" w:lineRule="auto"/>
        <w:jc w:val="both"/>
        <w:rPr>
          <w:rFonts w:ascii="Times New Roman" w:hAnsi="Times New Roman" w:cs="Times New Roman"/>
        </w:rPr>
      </w:pPr>
      <w:r w:rsidRPr="004C75E0">
        <w:rPr>
          <w:rFonts w:ascii="Times New Roman" w:hAnsi="Times New Roman" w:cs="Times New Roman"/>
        </w:rPr>
        <w:t xml:space="preserve">In terms of </w:t>
      </w:r>
      <w:r w:rsidRPr="004C75E0">
        <w:rPr>
          <w:rFonts w:ascii="Times New Roman" w:hAnsi="Times New Roman" w:cs="Times New Roman"/>
          <w:bCs/>
        </w:rPr>
        <w:t>contextual</w:t>
      </w:r>
      <w:r w:rsidRPr="004C75E0">
        <w:rPr>
          <w:rFonts w:ascii="Times New Roman" w:hAnsi="Times New Roman" w:cs="Times New Roman"/>
          <w:b/>
          <w:bCs/>
        </w:rPr>
        <w:t xml:space="preserve"> </w:t>
      </w:r>
      <w:r w:rsidRPr="004C75E0">
        <w:rPr>
          <w:rFonts w:ascii="Times New Roman" w:hAnsi="Times New Roman" w:cs="Times New Roman"/>
        </w:rPr>
        <w:t xml:space="preserve">factors, </w:t>
      </w:r>
      <w:r w:rsidR="003F11D2">
        <w:rPr>
          <w:rFonts w:ascii="Times New Roman" w:hAnsi="Times New Roman" w:cs="Times New Roman"/>
        </w:rPr>
        <w:t>UNICEF (2014</w:t>
      </w:r>
      <w:r w:rsidR="00662A6F" w:rsidRPr="004C75E0">
        <w:rPr>
          <w:rFonts w:ascii="Times New Roman" w:hAnsi="Times New Roman" w:cs="Times New Roman"/>
        </w:rPr>
        <w:t xml:space="preserve">) notes that </w:t>
      </w:r>
      <w:r w:rsidRPr="004C75E0">
        <w:rPr>
          <w:rFonts w:ascii="Times New Roman" w:hAnsi="Times New Roman" w:cs="Times New Roman"/>
        </w:rPr>
        <w:t>ECCDE as a programme does not belong to any specific ministry; it is a challenge to coordinate with relevant</w:t>
      </w:r>
      <w:r w:rsidR="00154DA7" w:rsidRPr="004C75E0">
        <w:rPr>
          <w:rFonts w:ascii="Times New Roman" w:hAnsi="Times New Roman" w:cs="Times New Roman"/>
        </w:rPr>
        <w:t xml:space="preserve"> line ministries. Less than 0.1 percent</w:t>
      </w:r>
      <w:r w:rsidRPr="004C75E0">
        <w:rPr>
          <w:rFonts w:ascii="Times New Roman" w:hAnsi="Times New Roman" w:cs="Times New Roman"/>
        </w:rPr>
        <w:t xml:space="preserve"> of the budget for education was available for ECCDE services in 2009, 2010 and 2011</w:t>
      </w:r>
      <w:r w:rsidR="003F11D2">
        <w:rPr>
          <w:rFonts w:ascii="Times New Roman" w:hAnsi="Times New Roman" w:cs="Times New Roman"/>
        </w:rPr>
        <w:t xml:space="preserve"> (UNICEF, 2014</w:t>
      </w:r>
      <w:r w:rsidR="00154DA7" w:rsidRPr="004C75E0">
        <w:rPr>
          <w:rFonts w:ascii="Times New Roman" w:hAnsi="Times New Roman" w:cs="Times New Roman"/>
        </w:rPr>
        <w:t>)</w:t>
      </w:r>
      <w:r w:rsidRPr="004C75E0">
        <w:rPr>
          <w:rFonts w:ascii="Times New Roman" w:hAnsi="Times New Roman" w:cs="Times New Roman"/>
        </w:rPr>
        <w:t xml:space="preserve">. There is also a general lack of infrastructure, curricula and materials for a holistic initiative. On the </w:t>
      </w:r>
      <w:r w:rsidRPr="004C75E0">
        <w:rPr>
          <w:rFonts w:ascii="Times New Roman" w:hAnsi="Times New Roman" w:cs="Times New Roman"/>
          <w:bCs/>
        </w:rPr>
        <w:t xml:space="preserve">demand </w:t>
      </w:r>
      <w:r w:rsidRPr="004C75E0">
        <w:rPr>
          <w:rFonts w:ascii="Times New Roman" w:hAnsi="Times New Roman" w:cs="Times New Roman"/>
        </w:rPr>
        <w:t xml:space="preserve">and </w:t>
      </w:r>
      <w:r w:rsidRPr="004C75E0">
        <w:rPr>
          <w:rFonts w:ascii="Times New Roman" w:hAnsi="Times New Roman" w:cs="Times New Roman"/>
          <w:bCs/>
        </w:rPr>
        <w:t>personal factor</w:t>
      </w:r>
      <w:r w:rsidRPr="004C75E0">
        <w:rPr>
          <w:rFonts w:ascii="Times New Roman" w:hAnsi="Times New Roman" w:cs="Times New Roman"/>
          <w:b/>
          <w:bCs/>
        </w:rPr>
        <w:t xml:space="preserve"> </w:t>
      </w:r>
      <w:r w:rsidRPr="004C75E0">
        <w:rPr>
          <w:rFonts w:ascii="Times New Roman" w:hAnsi="Times New Roman" w:cs="Times New Roman"/>
        </w:rPr>
        <w:t>side, the concept of ECCDE centres is still relatively new in Zambia, and parents might not understand the importance of sending their children to such centres in their early years. Within a society where girls at a young age often take care of younger siblings, proving this is not the best practice might</w:t>
      </w:r>
      <w:r w:rsidR="00295396" w:rsidRPr="004C75E0">
        <w:rPr>
          <w:rFonts w:ascii="Times New Roman" w:hAnsi="Times New Roman" w:cs="Times New Roman"/>
        </w:rPr>
        <w:t xml:space="preserve"> </w:t>
      </w:r>
      <w:r w:rsidRPr="004C75E0">
        <w:rPr>
          <w:rFonts w:ascii="Times New Roman" w:hAnsi="Times New Roman" w:cs="Times New Roman"/>
        </w:rPr>
        <w:t>take time. Hence, lack of knowledge among families of the benefits of ECCDE centres means the necessary public demand to enforce the creation of such centres by the Government is not generated.</w:t>
      </w:r>
      <w:r w:rsidR="00295396" w:rsidRPr="004C75E0">
        <w:rPr>
          <w:rFonts w:ascii="Times New Roman" w:hAnsi="Times New Roman" w:cs="Times New Roman"/>
        </w:rPr>
        <w:t xml:space="preserve"> As such, government has the luxury of taking a ‘laid back’ approach.</w:t>
      </w:r>
      <w:r w:rsidR="00154DA7" w:rsidRPr="004C75E0">
        <w:rPr>
          <w:rFonts w:ascii="Times New Roman" w:hAnsi="Times New Roman" w:cs="Times New Roman"/>
        </w:rPr>
        <w:t xml:space="preserve"> </w:t>
      </w:r>
      <w:r w:rsidR="00154DA7" w:rsidRPr="003F11D2">
        <w:rPr>
          <w:rFonts w:ascii="Times New Roman" w:hAnsi="Times New Roman" w:cs="Times New Roman"/>
        </w:rPr>
        <w:t>Advocating for priority policy attention and an institutional framework for</w:t>
      </w:r>
      <w:r w:rsidR="00AD6FB8" w:rsidRPr="003F11D2">
        <w:rPr>
          <w:rFonts w:ascii="Times New Roman" w:hAnsi="Times New Roman" w:cs="Times New Roman"/>
        </w:rPr>
        <w:t xml:space="preserve"> coordinating</w:t>
      </w:r>
      <w:r w:rsidR="00154DA7" w:rsidRPr="003F11D2">
        <w:rPr>
          <w:rFonts w:ascii="Times New Roman" w:hAnsi="Times New Roman" w:cs="Times New Roman"/>
        </w:rPr>
        <w:t xml:space="preserve"> efforts </w:t>
      </w:r>
      <w:r w:rsidR="00AD6FB8" w:rsidRPr="003F11D2">
        <w:rPr>
          <w:rFonts w:ascii="Times New Roman" w:hAnsi="Times New Roman" w:cs="Times New Roman"/>
        </w:rPr>
        <w:t>aimed at improving ECCDE in Zambia becomes of essence for realising the 2030 agenda. Civil society needs to act on present possibilities to mobilise masses and generate the requisite public demand for establishment of ECCDE centres</w:t>
      </w:r>
      <w:r w:rsidR="003F11D2">
        <w:rPr>
          <w:rFonts w:ascii="Times New Roman" w:hAnsi="Times New Roman" w:cs="Times New Roman"/>
        </w:rPr>
        <w:t xml:space="preserve"> and increase financial allocation to the sub-sector</w:t>
      </w:r>
      <w:r w:rsidR="00AD6FB8" w:rsidRPr="004C75E0">
        <w:rPr>
          <w:rFonts w:ascii="Times New Roman" w:hAnsi="Times New Roman" w:cs="Times New Roman"/>
        </w:rPr>
        <w:t>.</w:t>
      </w:r>
    </w:p>
    <w:p w14:paraId="54CBF2AE" w14:textId="77777777" w:rsidR="0046701E" w:rsidRPr="004C75E0" w:rsidRDefault="0046701E" w:rsidP="0046701E">
      <w:pPr>
        <w:autoSpaceDE w:val="0"/>
        <w:autoSpaceDN w:val="0"/>
        <w:adjustRightInd w:val="0"/>
        <w:spacing w:after="0" w:line="240" w:lineRule="auto"/>
        <w:jc w:val="both"/>
        <w:rPr>
          <w:rFonts w:ascii="Times New Roman" w:hAnsi="Times New Roman" w:cs="Times New Roman"/>
        </w:rPr>
      </w:pPr>
    </w:p>
    <w:p w14:paraId="2F29EA28" w14:textId="313ACA7C" w:rsidR="00F23D9B" w:rsidRPr="004C75E0" w:rsidRDefault="00693A1C" w:rsidP="00F23D9B">
      <w:pPr>
        <w:pStyle w:val="Heading3"/>
        <w:rPr>
          <w:rFonts w:ascii="Times New Roman" w:hAnsi="Times New Roman" w:cs="Times New Roman"/>
          <w:lang w:val="en-US"/>
        </w:rPr>
      </w:pPr>
      <w:bookmarkStart w:id="26" w:name="_Toc432435865"/>
      <w:bookmarkStart w:id="27" w:name="_Toc458687354"/>
      <w:r>
        <w:rPr>
          <w:rFonts w:ascii="Times New Roman" w:hAnsi="Times New Roman" w:cs="Times New Roman"/>
          <w:lang w:val="en-US"/>
        </w:rPr>
        <w:t>3.2.2</w:t>
      </w:r>
      <w:r>
        <w:rPr>
          <w:rFonts w:ascii="Times New Roman" w:hAnsi="Times New Roman" w:cs="Times New Roman"/>
          <w:lang w:val="en-US"/>
        </w:rPr>
        <w:tab/>
        <w:t>Achieving Universal Primary E</w:t>
      </w:r>
      <w:r w:rsidR="00F23D9B" w:rsidRPr="004C75E0">
        <w:rPr>
          <w:rFonts w:ascii="Times New Roman" w:hAnsi="Times New Roman" w:cs="Times New Roman"/>
          <w:lang w:val="en-US"/>
        </w:rPr>
        <w:t>ducation</w:t>
      </w:r>
      <w:bookmarkEnd w:id="26"/>
      <w:bookmarkEnd w:id="27"/>
    </w:p>
    <w:p w14:paraId="7608DE6A" w14:textId="77777777" w:rsidR="004C75E0" w:rsidRDefault="00AD6FB8" w:rsidP="00AD6FB8">
      <w:pPr>
        <w:spacing w:after="200" w:line="360" w:lineRule="auto"/>
        <w:contextualSpacing/>
        <w:jc w:val="both"/>
        <w:rPr>
          <w:rFonts w:ascii="Times New Roman" w:hAnsi="Times New Roman" w:cs="Times New Roman"/>
        </w:rPr>
      </w:pPr>
      <w:r w:rsidRPr="004C75E0">
        <w:rPr>
          <w:rFonts w:ascii="Times New Roman" w:hAnsi="Times New Roman" w:cs="Times New Roman"/>
          <w:sz w:val="24"/>
          <w:szCs w:val="24"/>
        </w:rPr>
        <w:t>The second EFA</w:t>
      </w:r>
      <w:r w:rsidR="009F45DA">
        <w:rPr>
          <w:rFonts w:ascii="Times New Roman" w:hAnsi="Times New Roman" w:cs="Times New Roman"/>
          <w:sz w:val="24"/>
          <w:szCs w:val="24"/>
        </w:rPr>
        <w:t xml:space="preserve"> goal</w:t>
      </w:r>
      <w:r w:rsidRPr="004C75E0">
        <w:rPr>
          <w:rFonts w:ascii="Times New Roman" w:hAnsi="Times New Roman" w:cs="Times New Roman"/>
          <w:sz w:val="24"/>
          <w:szCs w:val="24"/>
        </w:rPr>
        <w:t xml:space="preserve"> was aimed at</w:t>
      </w:r>
      <w:r w:rsidRPr="004C75E0">
        <w:rPr>
          <w:rFonts w:ascii="Times New Roman" w:hAnsi="Times New Roman" w:cs="Times New Roman"/>
        </w:rPr>
        <w:t xml:space="preserve"> ensuring that by 2015 all children, particularly girls, children in difficult circumstances and those belonging  to ethnic minorities, have access to and complete, free and compulsory pr</w:t>
      </w:r>
      <w:r w:rsidR="00F23D9B" w:rsidRPr="004C75E0">
        <w:rPr>
          <w:rFonts w:ascii="Times New Roman" w:hAnsi="Times New Roman" w:cs="Times New Roman"/>
        </w:rPr>
        <w:t>imary education of good quality. This goal was comple</w:t>
      </w:r>
      <w:r w:rsidR="007B4D7E" w:rsidRPr="004C75E0">
        <w:rPr>
          <w:rFonts w:ascii="Times New Roman" w:hAnsi="Times New Roman" w:cs="Times New Roman"/>
        </w:rPr>
        <w:t>men</w:t>
      </w:r>
      <w:r w:rsidR="00F23D9B" w:rsidRPr="004C75E0">
        <w:rPr>
          <w:rFonts w:ascii="Times New Roman" w:hAnsi="Times New Roman" w:cs="Times New Roman"/>
        </w:rPr>
        <w:t>ted by MDG2 and is discussed</w:t>
      </w:r>
      <w:r w:rsidR="00853E13" w:rsidRPr="004C75E0">
        <w:rPr>
          <w:rFonts w:ascii="Times New Roman" w:hAnsi="Times New Roman" w:cs="Times New Roman"/>
        </w:rPr>
        <w:t xml:space="preserve"> here</w:t>
      </w:r>
      <w:r w:rsidR="00F23D9B" w:rsidRPr="004C75E0">
        <w:rPr>
          <w:rFonts w:ascii="Times New Roman" w:hAnsi="Times New Roman" w:cs="Times New Roman"/>
        </w:rPr>
        <w:t xml:space="preserve"> using the country indicators on net enrolment in primary school and primary completion rate.</w:t>
      </w:r>
    </w:p>
    <w:p w14:paraId="0E6ECD5F" w14:textId="77777777" w:rsidR="00426294" w:rsidRDefault="00426294" w:rsidP="00AD6FB8">
      <w:pPr>
        <w:spacing w:after="200" w:line="360" w:lineRule="auto"/>
        <w:contextualSpacing/>
        <w:jc w:val="both"/>
        <w:rPr>
          <w:rFonts w:ascii="Times New Roman" w:hAnsi="Times New Roman" w:cs="Times New Roman"/>
        </w:rPr>
      </w:pPr>
    </w:p>
    <w:p w14:paraId="5736AC18" w14:textId="77777777" w:rsidR="00426294" w:rsidRPr="004C75E0" w:rsidRDefault="00426294" w:rsidP="00AD6FB8">
      <w:pPr>
        <w:spacing w:after="200" w:line="360" w:lineRule="auto"/>
        <w:contextualSpacing/>
        <w:jc w:val="both"/>
        <w:rPr>
          <w:rFonts w:ascii="Times New Roman" w:hAnsi="Times New Roman" w:cs="Times New Roman"/>
        </w:rPr>
      </w:pPr>
    </w:p>
    <w:p w14:paraId="4D497933" w14:textId="77777777" w:rsidR="00E13D3B" w:rsidRPr="004C75E0" w:rsidRDefault="00F23D9B" w:rsidP="00A60BD4">
      <w:pPr>
        <w:pStyle w:val="ListParagraph"/>
        <w:numPr>
          <w:ilvl w:val="0"/>
          <w:numId w:val="16"/>
        </w:numPr>
        <w:spacing w:after="200" w:line="360" w:lineRule="auto"/>
        <w:jc w:val="both"/>
        <w:rPr>
          <w:rFonts w:ascii="Times New Roman" w:hAnsi="Times New Roman" w:cs="Times New Roman"/>
          <w:b/>
          <w:sz w:val="24"/>
          <w:szCs w:val="24"/>
        </w:rPr>
      </w:pPr>
      <w:r w:rsidRPr="004C75E0">
        <w:rPr>
          <w:rFonts w:ascii="Times New Roman" w:hAnsi="Times New Roman" w:cs="Times New Roman"/>
          <w:b/>
          <w:sz w:val="24"/>
          <w:szCs w:val="24"/>
        </w:rPr>
        <w:t xml:space="preserve">Net Enrolment in Primary Education </w:t>
      </w:r>
    </w:p>
    <w:p w14:paraId="16BB7A90" w14:textId="6601B00D" w:rsidR="00943A8A" w:rsidRDefault="009F45DA" w:rsidP="00853E13">
      <w:pPr>
        <w:autoSpaceDE w:val="0"/>
        <w:autoSpaceDN w:val="0"/>
        <w:adjustRightInd w:val="0"/>
        <w:spacing w:before="140" w:after="0" w:line="360" w:lineRule="auto"/>
        <w:jc w:val="both"/>
        <w:rPr>
          <w:rFonts w:ascii="Times New Roman" w:hAnsi="Times New Roman" w:cs="Times New Roman"/>
          <w:color w:val="000000"/>
          <w:sz w:val="24"/>
          <w:szCs w:val="24"/>
          <w:lang w:val="en-US"/>
        </w:rPr>
      </w:pPr>
      <w:r>
        <w:rPr>
          <w:rFonts w:ascii="Times New Roman" w:hAnsi="Times New Roman" w:cs="Times New Roman"/>
          <w:iCs/>
          <w:sz w:val="24"/>
          <w:szCs w:val="24"/>
          <w:lang w:val="en-US"/>
        </w:rPr>
        <w:t xml:space="preserve">In regard to the Net Enrollment Rate (NER), </w:t>
      </w:r>
      <w:r w:rsidR="00E13D3B" w:rsidRPr="004C75E0">
        <w:rPr>
          <w:rFonts w:ascii="Times New Roman" w:hAnsi="Times New Roman" w:cs="Times New Roman"/>
          <w:iCs/>
          <w:sz w:val="24"/>
          <w:szCs w:val="24"/>
          <w:lang w:val="en-US"/>
        </w:rPr>
        <w:t>Zambia has made steady progress</w:t>
      </w:r>
      <w:r w:rsidR="00ED1B44">
        <w:rPr>
          <w:rFonts w:ascii="Times New Roman" w:hAnsi="Times New Roman" w:cs="Times New Roman"/>
          <w:sz w:val="24"/>
          <w:szCs w:val="24"/>
          <w:lang w:val="en-US"/>
        </w:rPr>
        <w:t>. The NER</w:t>
      </w:r>
      <w:r w:rsidR="00E13D3B" w:rsidRPr="004C75E0">
        <w:rPr>
          <w:rFonts w:ascii="Times New Roman" w:hAnsi="Times New Roman" w:cs="Times New Roman"/>
          <w:sz w:val="24"/>
          <w:szCs w:val="24"/>
          <w:lang w:val="en-US"/>
        </w:rPr>
        <w:t xml:space="preserve"> increased from 80 per cent i</w:t>
      </w:r>
      <w:r w:rsidR="00537543" w:rsidRPr="004C75E0">
        <w:rPr>
          <w:rFonts w:ascii="Times New Roman" w:hAnsi="Times New Roman" w:cs="Times New Roman"/>
          <w:sz w:val="24"/>
          <w:szCs w:val="24"/>
          <w:lang w:val="en-US"/>
        </w:rPr>
        <w:t>n 1990 to 94.3 per cent in 2014</w:t>
      </w:r>
      <w:r w:rsidR="009C73FF" w:rsidRPr="004C75E0">
        <w:rPr>
          <w:rStyle w:val="FootnoteReference"/>
          <w:rFonts w:ascii="Times New Roman" w:hAnsi="Times New Roman" w:cs="Times New Roman"/>
          <w:sz w:val="24"/>
          <w:szCs w:val="24"/>
          <w:lang w:val="en-US"/>
        </w:rPr>
        <w:footnoteReference w:id="10"/>
      </w:r>
      <w:r w:rsidR="00E13D3B" w:rsidRPr="004C75E0">
        <w:rPr>
          <w:rFonts w:ascii="Times New Roman" w:hAnsi="Times New Roman" w:cs="Times New Roman"/>
          <w:sz w:val="24"/>
          <w:szCs w:val="24"/>
          <w:lang w:val="en-US"/>
        </w:rPr>
        <w:t>.</w:t>
      </w:r>
      <w:r w:rsidR="00ED1B44" w:rsidRPr="00ED1B44">
        <w:rPr>
          <w:rFonts w:ascii="Times New Roman" w:hAnsi="Times New Roman" w:cs="Times New Roman"/>
          <w:iCs/>
          <w:sz w:val="24"/>
          <w:szCs w:val="24"/>
          <w:lang w:val="en-US"/>
        </w:rPr>
        <w:t xml:space="preserve"> </w:t>
      </w:r>
      <w:r w:rsidR="00CF4167">
        <w:rPr>
          <w:rFonts w:ascii="Times New Roman" w:hAnsi="Times New Roman" w:cs="Times New Roman"/>
          <w:iCs/>
          <w:sz w:val="24"/>
          <w:szCs w:val="24"/>
          <w:lang w:val="en-US"/>
        </w:rPr>
        <w:t>Notwithstanding, t</w:t>
      </w:r>
      <w:r w:rsidR="00ED1B44" w:rsidRPr="004C75E0">
        <w:rPr>
          <w:rFonts w:ascii="Times New Roman" w:hAnsi="Times New Roman" w:cs="Times New Roman"/>
          <w:iCs/>
          <w:sz w:val="24"/>
          <w:szCs w:val="24"/>
          <w:lang w:val="en-US"/>
        </w:rPr>
        <w:t>he 2015 target of 100 percent net enrolment in primary education for both girls and boys wi</w:t>
      </w:r>
      <w:r w:rsidR="00CF4167">
        <w:rPr>
          <w:rFonts w:ascii="Times New Roman" w:hAnsi="Times New Roman" w:cs="Times New Roman"/>
          <w:iCs/>
          <w:sz w:val="24"/>
          <w:szCs w:val="24"/>
          <w:lang w:val="en-US"/>
        </w:rPr>
        <w:t xml:space="preserve">ll be narrowly missed (See </w:t>
      </w:r>
      <w:r w:rsidR="00ED1B44" w:rsidRPr="004C75E0">
        <w:rPr>
          <w:rFonts w:ascii="Times New Roman" w:hAnsi="Times New Roman" w:cs="Times New Roman"/>
          <w:sz w:val="24"/>
          <w:szCs w:val="24"/>
          <w:lang w:val="en-US"/>
        </w:rPr>
        <w:t>Figure 3.2)</w:t>
      </w:r>
      <w:r w:rsidR="007B4D7E" w:rsidRPr="004C75E0">
        <w:rPr>
          <w:rFonts w:ascii="Times New Roman" w:hAnsi="Times New Roman" w:cs="Times New Roman"/>
          <w:color w:val="000000"/>
          <w:sz w:val="24"/>
          <w:szCs w:val="24"/>
          <w:lang w:val="en-US"/>
        </w:rPr>
        <w:t xml:space="preserve">. </w:t>
      </w:r>
    </w:p>
    <w:p w14:paraId="3159A268" w14:textId="77777777" w:rsidR="00E13D3B" w:rsidRPr="004C75E0" w:rsidRDefault="009C73FF" w:rsidP="00853E13">
      <w:pPr>
        <w:autoSpaceDE w:val="0"/>
        <w:autoSpaceDN w:val="0"/>
        <w:adjustRightInd w:val="0"/>
        <w:spacing w:before="140" w:after="0" w:line="360" w:lineRule="auto"/>
        <w:jc w:val="both"/>
        <w:rPr>
          <w:rFonts w:ascii="Times New Roman" w:hAnsi="Times New Roman" w:cs="Times New Roman"/>
          <w:sz w:val="24"/>
          <w:szCs w:val="24"/>
          <w:lang w:val="en-US"/>
        </w:rPr>
      </w:pPr>
      <w:r w:rsidRPr="004C75E0">
        <w:rPr>
          <w:rFonts w:ascii="Times New Roman" w:hAnsi="Times New Roman" w:cs="Times New Roman"/>
          <w:b/>
          <w:sz w:val="24"/>
          <w:szCs w:val="24"/>
          <w:lang w:val="en-US"/>
        </w:rPr>
        <w:t>Figure 3</w:t>
      </w:r>
      <w:r w:rsidR="00853E13" w:rsidRPr="004C75E0">
        <w:rPr>
          <w:rFonts w:ascii="Times New Roman" w:hAnsi="Times New Roman" w:cs="Times New Roman"/>
          <w:b/>
          <w:sz w:val="24"/>
          <w:szCs w:val="24"/>
          <w:lang w:val="en-US"/>
        </w:rPr>
        <w:t>.2</w:t>
      </w:r>
      <w:r w:rsidR="00E13D3B" w:rsidRPr="004C75E0">
        <w:rPr>
          <w:rFonts w:ascii="Times New Roman" w:hAnsi="Times New Roman" w:cs="Times New Roman"/>
          <w:b/>
          <w:sz w:val="24"/>
          <w:szCs w:val="24"/>
          <w:lang w:val="en-US"/>
        </w:rPr>
        <w:t>:  Primary School Net Enrolment Rate by Sex, 1990 - 2014</w:t>
      </w:r>
    </w:p>
    <w:p w14:paraId="56B83D2E" w14:textId="77777777" w:rsidR="004C75E0" w:rsidRDefault="00E13D3B" w:rsidP="004C75E0">
      <w:pPr>
        <w:spacing w:after="0" w:line="360" w:lineRule="auto"/>
        <w:rPr>
          <w:rFonts w:ascii="Times New Roman" w:hAnsi="Times New Roman" w:cs="Times New Roman"/>
          <w:color w:val="000000"/>
          <w:sz w:val="24"/>
          <w:szCs w:val="24"/>
          <w:lang w:val="en-US"/>
        </w:rPr>
      </w:pPr>
      <w:r w:rsidRPr="004C75E0">
        <w:rPr>
          <w:rFonts w:ascii="Times New Roman" w:hAnsi="Times New Roman" w:cs="Times New Roman"/>
          <w:noProof/>
          <w:highlight w:val="yellow"/>
          <w:lang w:val="en-US"/>
        </w:rPr>
        <w:drawing>
          <wp:inline distT="0" distB="0" distL="0" distR="0" wp14:anchorId="51A6092C" wp14:editId="69BAB88B">
            <wp:extent cx="5686425" cy="2095500"/>
            <wp:effectExtent l="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4C75E0">
        <w:rPr>
          <w:rFonts w:ascii="Times New Roman" w:hAnsi="Times New Roman" w:cs="Times New Roman"/>
          <w:b/>
          <w:color w:val="000000"/>
          <w:sz w:val="24"/>
          <w:szCs w:val="24"/>
          <w:u w:val="single"/>
          <w:lang w:val="en-US"/>
        </w:rPr>
        <w:t>Source</w:t>
      </w:r>
      <w:r w:rsidRPr="004C75E0">
        <w:rPr>
          <w:rFonts w:ascii="Times New Roman" w:hAnsi="Times New Roman" w:cs="Times New Roman"/>
          <w:color w:val="000000"/>
          <w:sz w:val="24"/>
          <w:szCs w:val="24"/>
          <w:lang w:val="en-US"/>
        </w:rPr>
        <w:t>: MOE, Annual Education Statistics Bulletins</w:t>
      </w:r>
    </w:p>
    <w:p w14:paraId="0A8B7782" w14:textId="6D2E136D" w:rsidR="000E2BCC" w:rsidRDefault="00CF4167" w:rsidP="00943A8A">
      <w:pPr>
        <w:autoSpaceDE w:val="0"/>
        <w:autoSpaceDN w:val="0"/>
        <w:adjustRightInd w:val="0"/>
        <w:spacing w:before="140" w:after="0" w:line="36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w:t>
      </w:r>
      <w:r w:rsidR="00943A8A">
        <w:rPr>
          <w:rFonts w:ascii="Times New Roman" w:hAnsi="Times New Roman" w:cs="Times New Roman"/>
          <w:color w:val="000000"/>
          <w:sz w:val="24"/>
          <w:szCs w:val="24"/>
          <w:lang w:val="en-US"/>
        </w:rPr>
        <w:t xml:space="preserve">ccess to primary schooling has increased and </w:t>
      </w:r>
      <w:r w:rsidR="00943A8A" w:rsidRPr="004C75E0">
        <w:rPr>
          <w:rFonts w:ascii="Times New Roman" w:hAnsi="Times New Roman" w:cs="Times New Roman"/>
          <w:color w:val="000000"/>
          <w:sz w:val="24"/>
          <w:szCs w:val="24"/>
          <w:lang w:val="en-US"/>
        </w:rPr>
        <w:t xml:space="preserve">the gap between boys and girls enrolled in primary schools </w:t>
      </w:r>
      <w:r w:rsidR="00943A8A">
        <w:rPr>
          <w:rFonts w:ascii="Times New Roman" w:hAnsi="Times New Roman" w:cs="Times New Roman"/>
          <w:color w:val="000000"/>
          <w:sz w:val="24"/>
          <w:szCs w:val="24"/>
          <w:lang w:val="en-US"/>
        </w:rPr>
        <w:t>progressively narrowed</w:t>
      </w:r>
      <w:r w:rsidR="00943A8A" w:rsidRPr="004C75E0">
        <w:rPr>
          <w:rFonts w:ascii="Times New Roman" w:hAnsi="Times New Roman" w:cs="Times New Roman"/>
          <w:color w:val="000000"/>
          <w:sz w:val="24"/>
          <w:szCs w:val="24"/>
          <w:lang w:val="en-US"/>
        </w:rPr>
        <w:t xml:space="preserve">. </w:t>
      </w:r>
      <w:r w:rsidR="00943A8A">
        <w:rPr>
          <w:rFonts w:ascii="Times New Roman" w:hAnsi="Times New Roman" w:cs="Times New Roman"/>
          <w:color w:val="000000"/>
          <w:sz w:val="24"/>
          <w:szCs w:val="24"/>
          <w:lang w:val="en-US"/>
        </w:rPr>
        <w:t>The absolute number of students in primary education has more than doubled in the EFA reference period (2000-2015), increasing from 1.6 million in 2000 to 3.7 million in 2014 (Ministry of Education, 2014). In gender terms, t</w:t>
      </w:r>
      <w:r w:rsidR="00943A8A" w:rsidRPr="004C75E0">
        <w:rPr>
          <w:rFonts w:ascii="Times New Roman" w:hAnsi="Times New Roman" w:cs="Times New Roman"/>
          <w:color w:val="000000"/>
          <w:sz w:val="24"/>
          <w:szCs w:val="24"/>
          <w:lang w:val="en-US"/>
        </w:rPr>
        <w:t>here were 1,613,748 boys enrolled in primary school in Zambia in 2014, representing 50.1 percent compared to 1,604,124 girls enrolled in the same year, representing 49.9 percent (MoE, 2014). Gender disparities at this lev</w:t>
      </w:r>
      <w:r w:rsidR="00943A8A">
        <w:rPr>
          <w:rFonts w:ascii="Times New Roman" w:hAnsi="Times New Roman" w:cs="Times New Roman"/>
          <w:color w:val="000000"/>
          <w:sz w:val="24"/>
          <w:szCs w:val="24"/>
          <w:lang w:val="en-US"/>
        </w:rPr>
        <w:t>el have, therefore, almost been</w:t>
      </w:r>
      <w:r w:rsidR="00943A8A" w:rsidRPr="004C75E0">
        <w:rPr>
          <w:rFonts w:ascii="Times New Roman" w:hAnsi="Times New Roman" w:cs="Times New Roman"/>
          <w:color w:val="000000"/>
          <w:sz w:val="24"/>
          <w:szCs w:val="24"/>
          <w:lang w:val="en-US"/>
        </w:rPr>
        <w:t xml:space="preserve"> eliminated.</w:t>
      </w:r>
      <w:r w:rsidR="00943A8A">
        <w:rPr>
          <w:rFonts w:ascii="Times New Roman" w:hAnsi="Times New Roman" w:cs="Times New Roman"/>
          <w:color w:val="000000"/>
          <w:sz w:val="24"/>
          <w:szCs w:val="24"/>
          <w:lang w:val="en-US"/>
        </w:rPr>
        <w:t xml:space="preserve"> Besides, the 2014 School Census, records that out of 9,548 schools in the country, 8754 (i.e., 92 percent) offered classes in grades 1-7. Over the period 2005 to 2014, the annual growth rate of primary schools was 1.4 percent. Th</w:t>
      </w:r>
      <w:r w:rsidR="008530CC">
        <w:rPr>
          <w:rFonts w:ascii="Times New Roman" w:hAnsi="Times New Roman" w:cs="Times New Roman"/>
          <w:color w:val="000000"/>
          <w:sz w:val="24"/>
          <w:szCs w:val="24"/>
          <w:lang w:val="en-US"/>
        </w:rPr>
        <w:t xml:space="preserve">is was less than the </w:t>
      </w:r>
      <w:r w:rsidR="00943A8A">
        <w:rPr>
          <w:rFonts w:ascii="Times New Roman" w:hAnsi="Times New Roman" w:cs="Times New Roman"/>
          <w:color w:val="000000"/>
          <w:sz w:val="24"/>
          <w:szCs w:val="24"/>
          <w:lang w:val="en-US"/>
        </w:rPr>
        <w:t xml:space="preserve">population growth rate </w:t>
      </w:r>
      <w:r w:rsidR="008530CC">
        <w:rPr>
          <w:rFonts w:ascii="Times New Roman" w:hAnsi="Times New Roman" w:cs="Times New Roman"/>
          <w:color w:val="000000"/>
          <w:sz w:val="24"/>
          <w:szCs w:val="24"/>
          <w:lang w:val="en-US"/>
        </w:rPr>
        <w:t>for the period 1990-2010 of about 2.8 percent and even less than the projected population growth rate of 3.2 percent for the period 2010 to 2020</w:t>
      </w:r>
      <w:r w:rsidR="00943A8A">
        <w:rPr>
          <w:rFonts w:ascii="Times New Roman" w:hAnsi="Times New Roman" w:cs="Times New Roman"/>
          <w:color w:val="000000"/>
          <w:sz w:val="24"/>
          <w:szCs w:val="24"/>
          <w:lang w:val="en-US"/>
        </w:rPr>
        <w:t>. Therefore</w:t>
      </w:r>
      <w:r w:rsidR="008530CC">
        <w:rPr>
          <w:rFonts w:ascii="Times New Roman" w:hAnsi="Times New Roman" w:cs="Times New Roman"/>
          <w:color w:val="000000"/>
          <w:sz w:val="24"/>
          <w:szCs w:val="24"/>
          <w:lang w:val="en-US"/>
        </w:rPr>
        <w:t>,</w:t>
      </w:r>
      <w:r w:rsidR="00943A8A">
        <w:rPr>
          <w:rFonts w:ascii="Times New Roman" w:hAnsi="Times New Roman" w:cs="Times New Roman"/>
          <w:color w:val="000000"/>
          <w:sz w:val="24"/>
          <w:szCs w:val="24"/>
          <w:lang w:val="en-US"/>
        </w:rPr>
        <w:t xml:space="preserve"> the rate at which school places have been growing in the country is less than the rate of growth of the population</w:t>
      </w:r>
      <w:r w:rsidR="008530CC">
        <w:rPr>
          <w:rFonts w:ascii="Times New Roman" w:hAnsi="Times New Roman" w:cs="Times New Roman"/>
          <w:color w:val="000000"/>
          <w:sz w:val="24"/>
          <w:szCs w:val="24"/>
          <w:lang w:val="en-US"/>
        </w:rPr>
        <w:t>, particularly</w:t>
      </w:r>
      <w:r w:rsidR="00943A8A">
        <w:rPr>
          <w:rFonts w:ascii="Times New Roman" w:hAnsi="Times New Roman" w:cs="Times New Roman"/>
          <w:color w:val="000000"/>
          <w:sz w:val="24"/>
          <w:szCs w:val="24"/>
          <w:lang w:val="en-US"/>
        </w:rPr>
        <w:t xml:space="preserve"> of school going children. Consequently, primary school cl</w:t>
      </w:r>
      <w:r w:rsidR="000E2BCC">
        <w:rPr>
          <w:rFonts w:ascii="Times New Roman" w:hAnsi="Times New Roman" w:cs="Times New Roman"/>
          <w:color w:val="000000"/>
          <w:sz w:val="24"/>
          <w:szCs w:val="24"/>
          <w:lang w:val="en-US"/>
        </w:rPr>
        <w:t>asses are generally overcrowded and have higher pupil-teacher ratios</w:t>
      </w:r>
      <w:r w:rsidR="00943A8A">
        <w:rPr>
          <w:rFonts w:ascii="Times New Roman" w:hAnsi="Times New Roman" w:cs="Times New Roman"/>
          <w:color w:val="000000"/>
          <w:sz w:val="24"/>
          <w:szCs w:val="24"/>
          <w:lang w:val="en-US"/>
        </w:rPr>
        <w:t xml:space="preserve"> thereby compromising the quality of education.</w:t>
      </w:r>
      <w:r w:rsidR="00590844">
        <w:rPr>
          <w:rFonts w:ascii="Times New Roman" w:hAnsi="Times New Roman" w:cs="Times New Roman"/>
          <w:color w:val="000000"/>
          <w:sz w:val="24"/>
          <w:szCs w:val="24"/>
          <w:lang w:val="en-US"/>
        </w:rPr>
        <w:t xml:space="preserve"> Thus, while supply of</w:t>
      </w:r>
      <w:r w:rsidR="00C35EB4">
        <w:rPr>
          <w:rFonts w:ascii="Times New Roman" w:hAnsi="Times New Roman" w:cs="Times New Roman"/>
          <w:color w:val="000000"/>
          <w:sz w:val="24"/>
          <w:szCs w:val="24"/>
          <w:lang w:val="en-US"/>
        </w:rPr>
        <w:t xml:space="preserve"> primary</w:t>
      </w:r>
      <w:r w:rsidR="00590844">
        <w:rPr>
          <w:rFonts w:ascii="Times New Roman" w:hAnsi="Times New Roman" w:cs="Times New Roman"/>
          <w:color w:val="000000"/>
          <w:sz w:val="24"/>
          <w:szCs w:val="24"/>
          <w:lang w:val="en-US"/>
        </w:rPr>
        <w:t xml:space="preserve"> school places increased, the demand of primary school education</w:t>
      </w:r>
      <w:r w:rsidR="00C35EB4">
        <w:rPr>
          <w:rFonts w:ascii="Times New Roman" w:hAnsi="Times New Roman" w:cs="Times New Roman"/>
          <w:color w:val="000000"/>
          <w:sz w:val="24"/>
          <w:szCs w:val="24"/>
          <w:lang w:val="en-US"/>
        </w:rPr>
        <w:t xml:space="preserve"> outstripped that </w:t>
      </w:r>
      <w:r w:rsidR="008530CC">
        <w:rPr>
          <w:rFonts w:ascii="Times New Roman" w:hAnsi="Times New Roman" w:cs="Times New Roman"/>
          <w:color w:val="000000"/>
          <w:sz w:val="24"/>
          <w:szCs w:val="24"/>
          <w:lang w:val="en-US"/>
        </w:rPr>
        <w:t xml:space="preserve">of </w:t>
      </w:r>
      <w:r w:rsidR="00C35EB4">
        <w:rPr>
          <w:rFonts w:ascii="Times New Roman" w:hAnsi="Times New Roman" w:cs="Times New Roman"/>
          <w:color w:val="000000"/>
          <w:sz w:val="24"/>
          <w:szCs w:val="24"/>
          <w:lang w:val="en-US"/>
        </w:rPr>
        <w:t>supply, and this is fairly consistent with the inadequate school infrastructure and materials for a sustained quality inclusive education in Zambia.</w:t>
      </w:r>
    </w:p>
    <w:p w14:paraId="3776D5FB" w14:textId="77777777" w:rsidR="00693A1C" w:rsidRDefault="00693A1C" w:rsidP="00A60BD4">
      <w:pPr>
        <w:spacing w:line="360" w:lineRule="auto"/>
        <w:jc w:val="both"/>
        <w:rPr>
          <w:rFonts w:ascii="Times New Roman" w:hAnsi="Times New Roman" w:cs="Times New Roman"/>
          <w:color w:val="000000"/>
          <w:sz w:val="24"/>
          <w:szCs w:val="24"/>
          <w:lang w:val="en-US"/>
        </w:rPr>
      </w:pPr>
    </w:p>
    <w:p w14:paraId="237464E9" w14:textId="77777777" w:rsidR="00E13D3B" w:rsidRPr="004C75E0" w:rsidRDefault="00893C5F" w:rsidP="00A60BD4">
      <w:pPr>
        <w:spacing w:line="360" w:lineRule="auto"/>
        <w:jc w:val="both"/>
        <w:rPr>
          <w:rFonts w:ascii="Times New Roman" w:hAnsi="Times New Roman" w:cs="Times New Roman"/>
          <w:b/>
          <w:color w:val="000000"/>
          <w:sz w:val="24"/>
          <w:szCs w:val="24"/>
          <w:lang w:val="en-US"/>
        </w:rPr>
      </w:pPr>
      <w:r>
        <w:rPr>
          <w:rFonts w:ascii="Times New Roman" w:hAnsi="Times New Roman" w:cs="Times New Roman"/>
          <w:b/>
          <w:color w:val="000000"/>
          <w:sz w:val="24"/>
          <w:szCs w:val="24"/>
          <w:lang w:val="en-US"/>
        </w:rPr>
        <w:t>Table 3</w:t>
      </w:r>
      <w:r w:rsidR="00E13D3B" w:rsidRPr="004C75E0">
        <w:rPr>
          <w:rFonts w:ascii="Times New Roman" w:hAnsi="Times New Roman" w:cs="Times New Roman"/>
          <w:b/>
          <w:color w:val="000000"/>
          <w:sz w:val="24"/>
          <w:szCs w:val="24"/>
          <w:lang w:val="en-US"/>
        </w:rPr>
        <w:t>.2: Net Enrolment Ratio (Grades 1-7) by Province, 2004-2014</w:t>
      </w:r>
    </w:p>
    <w:tbl>
      <w:tblPr>
        <w:tblStyle w:val="PlainTable210"/>
        <w:tblW w:w="5000" w:type="pct"/>
        <w:tblLook w:val="04A0" w:firstRow="1" w:lastRow="0" w:firstColumn="1" w:lastColumn="0" w:noHBand="0" w:noVBand="1"/>
      </w:tblPr>
      <w:tblGrid>
        <w:gridCol w:w="1829"/>
        <w:gridCol w:w="760"/>
        <w:gridCol w:w="760"/>
        <w:gridCol w:w="819"/>
        <w:gridCol w:w="819"/>
        <w:gridCol w:w="819"/>
        <w:gridCol w:w="1510"/>
        <w:gridCol w:w="1749"/>
        <w:gridCol w:w="177"/>
      </w:tblGrid>
      <w:tr w:rsidR="00D51954" w:rsidRPr="004C75E0" w14:paraId="28717807" w14:textId="77777777" w:rsidTr="00D51954">
        <w:trPr>
          <w:gridAfter w:val="1"/>
          <w:cnfStyle w:val="100000000000" w:firstRow="1" w:lastRow="0" w:firstColumn="0" w:lastColumn="0" w:oddVBand="0" w:evenVBand="0" w:oddHBand="0" w:evenHBand="0" w:firstRowFirstColumn="0" w:firstRowLastColumn="0" w:lastRowFirstColumn="0" w:lastRowLastColumn="0"/>
          <w:wAfter w:w="96" w:type="pct"/>
        </w:trPr>
        <w:tc>
          <w:tcPr>
            <w:cnfStyle w:val="001000000000" w:firstRow="0" w:lastRow="0" w:firstColumn="1" w:lastColumn="0" w:oddVBand="0" w:evenVBand="0" w:oddHBand="0" w:evenHBand="0" w:firstRowFirstColumn="0" w:firstRowLastColumn="0" w:lastRowFirstColumn="0" w:lastRowLastColumn="0"/>
            <w:tcW w:w="990" w:type="pct"/>
          </w:tcPr>
          <w:p w14:paraId="434FF857" w14:textId="77777777" w:rsidR="00D51954" w:rsidRPr="004C75E0" w:rsidRDefault="00D51954" w:rsidP="00425816">
            <w:pPr>
              <w:jc w:val="both"/>
              <w:rPr>
                <w:rFonts w:ascii="Times New Roman" w:hAnsi="Times New Roman" w:cs="Times New Roman"/>
                <w:color w:val="000000"/>
                <w:sz w:val="18"/>
                <w:szCs w:val="18"/>
              </w:rPr>
            </w:pPr>
          </w:p>
        </w:tc>
        <w:tc>
          <w:tcPr>
            <w:tcW w:w="411" w:type="pct"/>
          </w:tcPr>
          <w:p w14:paraId="31302F09" w14:textId="77777777" w:rsidR="00D51954" w:rsidRPr="004C75E0" w:rsidRDefault="00D51954" w:rsidP="0042581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2004</w:t>
            </w:r>
          </w:p>
        </w:tc>
        <w:tc>
          <w:tcPr>
            <w:tcW w:w="411" w:type="pct"/>
          </w:tcPr>
          <w:p w14:paraId="19302A18" w14:textId="77777777" w:rsidR="00D51954" w:rsidRPr="004C75E0" w:rsidRDefault="00D51954" w:rsidP="0042581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2010</w:t>
            </w:r>
          </w:p>
        </w:tc>
        <w:tc>
          <w:tcPr>
            <w:tcW w:w="443" w:type="pct"/>
          </w:tcPr>
          <w:p w14:paraId="67CBAB90" w14:textId="77777777" w:rsidR="00D51954" w:rsidRPr="004C75E0" w:rsidRDefault="00D51954" w:rsidP="0042581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2012</w:t>
            </w:r>
          </w:p>
        </w:tc>
        <w:tc>
          <w:tcPr>
            <w:tcW w:w="443" w:type="pct"/>
          </w:tcPr>
          <w:p w14:paraId="0B81B325" w14:textId="77777777" w:rsidR="00D51954" w:rsidRPr="004C75E0" w:rsidRDefault="00D51954" w:rsidP="0042581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2013</w:t>
            </w:r>
          </w:p>
        </w:tc>
        <w:tc>
          <w:tcPr>
            <w:tcW w:w="443" w:type="pct"/>
          </w:tcPr>
          <w:p w14:paraId="09C24146" w14:textId="77777777" w:rsidR="00D51954" w:rsidRPr="004C75E0" w:rsidRDefault="00D51954" w:rsidP="0042581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2014</w:t>
            </w:r>
          </w:p>
        </w:tc>
        <w:tc>
          <w:tcPr>
            <w:tcW w:w="817" w:type="pct"/>
          </w:tcPr>
          <w:p w14:paraId="7C4EE20F" w14:textId="77777777" w:rsidR="00D51954" w:rsidRPr="004C75E0" w:rsidRDefault="00D51954" w:rsidP="0042581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Percentage point</w:t>
            </w:r>
          </w:p>
          <w:p w14:paraId="79434C29" w14:textId="77777777" w:rsidR="00D51954" w:rsidRPr="004C75E0" w:rsidRDefault="00D51954" w:rsidP="0042581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 xml:space="preserve">gains/loss </w:t>
            </w:r>
          </w:p>
          <w:p w14:paraId="25CDC4B2" w14:textId="77777777" w:rsidR="00D51954" w:rsidRPr="004C75E0" w:rsidRDefault="00D51954" w:rsidP="0042581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2004-2014</w:t>
            </w:r>
          </w:p>
        </w:tc>
        <w:tc>
          <w:tcPr>
            <w:tcW w:w="946" w:type="pct"/>
          </w:tcPr>
          <w:p w14:paraId="61FFA79F" w14:textId="77777777" w:rsidR="00D51954" w:rsidRPr="004C75E0" w:rsidRDefault="00D51954" w:rsidP="0042581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 xml:space="preserve">Percentage </w:t>
            </w:r>
          </w:p>
          <w:p w14:paraId="27CE5921" w14:textId="77777777" w:rsidR="00D51954" w:rsidRPr="004C75E0" w:rsidRDefault="00D51954" w:rsidP="0042581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 xml:space="preserve">point </w:t>
            </w:r>
          </w:p>
          <w:p w14:paraId="323DFCB7" w14:textId="77777777" w:rsidR="00D51954" w:rsidRPr="004C75E0" w:rsidRDefault="00D51954" w:rsidP="0042581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 xml:space="preserve">Gap to 100 % </w:t>
            </w:r>
          </w:p>
          <w:p w14:paraId="0F14B507" w14:textId="77777777" w:rsidR="00D51954" w:rsidRPr="004C75E0" w:rsidRDefault="00D51954" w:rsidP="0042581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target</w:t>
            </w:r>
          </w:p>
        </w:tc>
      </w:tr>
      <w:tr w:rsidR="00D51954" w:rsidRPr="004C75E0" w14:paraId="7CF0CF65" w14:textId="77777777" w:rsidTr="00D51954">
        <w:trPr>
          <w:gridAfter w:val="1"/>
          <w:cnfStyle w:val="000000100000" w:firstRow="0" w:lastRow="0" w:firstColumn="0" w:lastColumn="0" w:oddVBand="0" w:evenVBand="0" w:oddHBand="1" w:evenHBand="0" w:firstRowFirstColumn="0" w:firstRowLastColumn="0" w:lastRowFirstColumn="0" w:lastRowLastColumn="0"/>
          <w:wAfter w:w="96" w:type="pct"/>
        </w:trPr>
        <w:tc>
          <w:tcPr>
            <w:cnfStyle w:val="001000000000" w:firstRow="0" w:lastRow="0" w:firstColumn="1" w:lastColumn="0" w:oddVBand="0" w:evenVBand="0" w:oddHBand="0" w:evenHBand="0" w:firstRowFirstColumn="0" w:firstRowLastColumn="0" w:lastRowFirstColumn="0" w:lastRowLastColumn="0"/>
            <w:tcW w:w="990" w:type="pct"/>
          </w:tcPr>
          <w:p w14:paraId="24167E02" w14:textId="77777777" w:rsidR="00D51954" w:rsidRPr="004C75E0" w:rsidRDefault="00D51954" w:rsidP="00425816">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National</w:t>
            </w:r>
          </w:p>
        </w:tc>
        <w:tc>
          <w:tcPr>
            <w:tcW w:w="411" w:type="pct"/>
          </w:tcPr>
          <w:p w14:paraId="4FA2B280"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85.1</w:t>
            </w:r>
          </w:p>
        </w:tc>
        <w:tc>
          <w:tcPr>
            <w:tcW w:w="411" w:type="pct"/>
          </w:tcPr>
          <w:p w14:paraId="52373F0B"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93.7</w:t>
            </w:r>
          </w:p>
        </w:tc>
        <w:tc>
          <w:tcPr>
            <w:tcW w:w="443" w:type="pct"/>
          </w:tcPr>
          <w:p w14:paraId="2C7A68D5"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109.9</w:t>
            </w:r>
          </w:p>
        </w:tc>
        <w:tc>
          <w:tcPr>
            <w:tcW w:w="443" w:type="pct"/>
          </w:tcPr>
          <w:p w14:paraId="6F147311"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107.0</w:t>
            </w:r>
          </w:p>
        </w:tc>
        <w:tc>
          <w:tcPr>
            <w:tcW w:w="443" w:type="pct"/>
          </w:tcPr>
          <w:p w14:paraId="7E8F3C26"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94.3</w:t>
            </w:r>
          </w:p>
        </w:tc>
        <w:tc>
          <w:tcPr>
            <w:tcW w:w="817" w:type="pct"/>
          </w:tcPr>
          <w:p w14:paraId="58036A13"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9.2</w:t>
            </w:r>
          </w:p>
        </w:tc>
        <w:tc>
          <w:tcPr>
            <w:tcW w:w="946" w:type="pct"/>
          </w:tcPr>
          <w:p w14:paraId="160946E0"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5.7</w:t>
            </w:r>
          </w:p>
        </w:tc>
      </w:tr>
      <w:tr w:rsidR="00D51954" w:rsidRPr="004C75E0" w14:paraId="1440A9A0" w14:textId="77777777" w:rsidTr="00D51954">
        <w:tc>
          <w:tcPr>
            <w:cnfStyle w:val="001000000000" w:firstRow="0" w:lastRow="0" w:firstColumn="1" w:lastColumn="0" w:oddVBand="0" w:evenVBand="0" w:oddHBand="0" w:evenHBand="0" w:firstRowFirstColumn="0" w:firstRowLastColumn="0" w:lastRowFirstColumn="0" w:lastRowLastColumn="0"/>
            <w:tcW w:w="990" w:type="pct"/>
          </w:tcPr>
          <w:p w14:paraId="3D515598" w14:textId="77777777" w:rsidR="00D51954" w:rsidRPr="004C75E0" w:rsidRDefault="00D51954" w:rsidP="00425816">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Central</w:t>
            </w:r>
          </w:p>
        </w:tc>
        <w:tc>
          <w:tcPr>
            <w:tcW w:w="411" w:type="pct"/>
          </w:tcPr>
          <w:p w14:paraId="7CB2FA4D"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89.4</w:t>
            </w:r>
          </w:p>
        </w:tc>
        <w:tc>
          <w:tcPr>
            <w:tcW w:w="411" w:type="pct"/>
          </w:tcPr>
          <w:p w14:paraId="3D391E1F"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92.0</w:t>
            </w:r>
          </w:p>
        </w:tc>
        <w:tc>
          <w:tcPr>
            <w:tcW w:w="443" w:type="pct"/>
          </w:tcPr>
          <w:p w14:paraId="5345530B"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132.1</w:t>
            </w:r>
          </w:p>
        </w:tc>
        <w:tc>
          <w:tcPr>
            <w:tcW w:w="443" w:type="pct"/>
          </w:tcPr>
          <w:p w14:paraId="258FA749"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122.6</w:t>
            </w:r>
          </w:p>
        </w:tc>
        <w:tc>
          <w:tcPr>
            <w:tcW w:w="443" w:type="pct"/>
          </w:tcPr>
          <w:p w14:paraId="131170A4"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118.6</w:t>
            </w:r>
          </w:p>
        </w:tc>
        <w:tc>
          <w:tcPr>
            <w:tcW w:w="817" w:type="pct"/>
          </w:tcPr>
          <w:p w14:paraId="1F1B043E"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29.6</w:t>
            </w:r>
          </w:p>
        </w:tc>
        <w:tc>
          <w:tcPr>
            <w:tcW w:w="1042" w:type="pct"/>
            <w:gridSpan w:val="2"/>
          </w:tcPr>
          <w:p w14:paraId="6A7E8EFF"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Target Met</w:t>
            </w:r>
          </w:p>
        </w:tc>
      </w:tr>
      <w:tr w:rsidR="00D51954" w:rsidRPr="004C75E0" w14:paraId="35B414F6" w14:textId="77777777" w:rsidTr="00D51954">
        <w:trPr>
          <w:gridAfter w:val="1"/>
          <w:cnfStyle w:val="000000100000" w:firstRow="0" w:lastRow="0" w:firstColumn="0" w:lastColumn="0" w:oddVBand="0" w:evenVBand="0" w:oddHBand="1" w:evenHBand="0" w:firstRowFirstColumn="0" w:firstRowLastColumn="0" w:lastRowFirstColumn="0" w:lastRowLastColumn="0"/>
          <w:wAfter w:w="96" w:type="pct"/>
        </w:trPr>
        <w:tc>
          <w:tcPr>
            <w:cnfStyle w:val="001000000000" w:firstRow="0" w:lastRow="0" w:firstColumn="1" w:lastColumn="0" w:oddVBand="0" w:evenVBand="0" w:oddHBand="0" w:evenHBand="0" w:firstRowFirstColumn="0" w:firstRowLastColumn="0" w:lastRowFirstColumn="0" w:lastRowLastColumn="0"/>
            <w:tcW w:w="990" w:type="pct"/>
          </w:tcPr>
          <w:p w14:paraId="0FB82290" w14:textId="77777777" w:rsidR="00D51954" w:rsidRPr="004C75E0" w:rsidRDefault="00D51954" w:rsidP="00425816">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Copperbelt</w:t>
            </w:r>
          </w:p>
        </w:tc>
        <w:tc>
          <w:tcPr>
            <w:tcW w:w="411" w:type="pct"/>
          </w:tcPr>
          <w:p w14:paraId="3EBAA3CC"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98</w:t>
            </w:r>
          </w:p>
        </w:tc>
        <w:tc>
          <w:tcPr>
            <w:tcW w:w="411" w:type="pct"/>
          </w:tcPr>
          <w:p w14:paraId="0E2FDA30"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95.7</w:t>
            </w:r>
          </w:p>
        </w:tc>
        <w:tc>
          <w:tcPr>
            <w:tcW w:w="443" w:type="pct"/>
          </w:tcPr>
          <w:p w14:paraId="5CD21AA9"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114.5</w:t>
            </w:r>
          </w:p>
        </w:tc>
        <w:tc>
          <w:tcPr>
            <w:tcW w:w="443" w:type="pct"/>
          </w:tcPr>
          <w:p w14:paraId="03559A38"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98.3</w:t>
            </w:r>
          </w:p>
        </w:tc>
        <w:tc>
          <w:tcPr>
            <w:tcW w:w="443" w:type="pct"/>
          </w:tcPr>
          <w:p w14:paraId="0609FB23"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88.1</w:t>
            </w:r>
          </w:p>
        </w:tc>
        <w:tc>
          <w:tcPr>
            <w:tcW w:w="817" w:type="pct"/>
          </w:tcPr>
          <w:p w14:paraId="47F4284F"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-9.9</w:t>
            </w:r>
          </w:p>
        </w:tc>
        <w:tc>
          <w:tcPr>
            <w:tcW w:w="946" w:type="pct"/>
          </w:tcPr>
          <w:p w14:paraId="7CBB3A2F"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11.9</w:t>
            </w:r>
          </w:p>
        </w:tc>
      </w:tr>
      <w:tr w:rsidR="00D51954" w:rsidRPr="004C75E0" w14:paraId="0EEF95B8" w14:textId="77777777" w:rsidTr="00D51954">
        <w:trPr>
          <w:gridAfter w:val="1"/>
          <w:wAfter w:w="96" w:type="pct"/>
        </w:trPr>
        <w:tc>
          <w:tcPr>
            <w:cnfStyle w:val="001000000000" w:firstRow="0" w:lastRow="0" w:firstColumn="1" w:lastColumn="0" w:oddVBand="0" w:evenVBand="0" w:oddHBand="0" w:evenHBand="0" w:firstRowFirstColumn="0" w:firstRowLastColumn="0" w:lastRowFirstColumn="0" w:lastRowLastColumn="0"/>
            <w:tcW w:w="990" w:type="pct"/>
          </w:tcPr>
          <w:p w14:paraId="5894ECD2" w14:textId="77777777" w:rsidR="00D51954" w:rsidRPr="004C75E0" w:rsidRDefault="00D51954" w:rsidP="00425816">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Eastern</w:t>
            </w:r>
          </w:p>
        </w:tc>
        <w:tc>
          <w:tcPr>
            <w:tcW w:w="411" w:type="pct"/>
          </w:tcPr>
          <w:p w14:paraId="04CA64B5"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65.3</w:t>
            </w:r>
          </w:p>
        </w:tc>
        <w:tc>
          <w:tcPr>
            <w:tcW w:w="411" w:type="pct"/>
          </w:tcPr>
          <w:p w14:paraId="4D7382C4"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p>
        </w:tc>
        <w:tc>
          <w:tcPr>
            <w:tcW w:w="443" w:type="pct"/>
          </w:tcPr>
          <w:p w14:paraId="636C7284"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89.8</w:t>
            </w:r>
          </w:p>
        </w:tc>
        <w:tc>
          <w:tcPr>
            <w:tcW w:w="443" w:type="pct"/>
          </w:tcPr>
          <w:p w14:paraId="52721F93"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90.5</w:t>
            </w:r>
          </w:p>
        </w:tc>
        <w:tc>
          <w:tcPr>
            <w:tcW w:w="443" w:type="pct"/>
          </w:tcPr>
          <w:p w14:paraId="7F321A46"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87.4</w:t>
            </w:r>
          </w:p>
        </w:tc>
        <w:tc>
          <w:tcPr>
            <w:tcW w:w="817" w:type="pct"/>
          </w:tcPr>
          <w:p w14:paraId="4026E165"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22.1</w:t>
            </w:r>
          </w:p>
        </w:tc>
        <w:tc>
          <w:tcPr>
            <w:tcW w:w="946" w:type="pct"/>
          </w:tcPr>
          <w:p w14:paraId="2EA1C42C"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12.6</w:t>
            </w:r>
          </w:p>
        </w:tc>
      </w:tr>
      <w:tr w:rsidR="00D51954" w:rsidRPr="004C75E0" w14:paraId="36F23AA2" w14:textId="77777777" w:rsidTr="00D51954">
        <w:trPr>
          <w:gridAfter w:val="1"/>
          <w:cnfStyle w:val="000000100000" w:firstRow="0" w:lastRow="0" w:firstColumn="0" w:lastColumn="0" w:oddVBand="0" w:evenVBand="0" w:oddHBand="1" w:evenHBand="0" w:firstRowFirstColumn="0" w:firstRowLastColumn="0" w:lastRowFirstColumn="0" w:lastRowLastColumn="0"/>
          <w:wAfter w:w="96" w:type="pct"/>
        </w:trPr>
        <w:tc>
          <w:tcPr>
            <w:cnfStyle w:val="001000000000" w:firstRow="0" w:lastRow="0" w:firstColumn="1" w:lastColumn="0" w:oddVBand="0" w:evenVBand="0" w:oddHBand="0" w:evenHBand="0" w:firstRowFirstColumn="0" w:firstRowLastColumn="0" w:lastRowFirstColumn="0" w:lastRowLastColumn="0"/>
            <w:tcW w:w="990" w:type="pct"/>
          </w:tcPr>
          <w:p w14:paraId="184F5D22" w14:textId="77777777" w:rsidR="00D51954" w:rsidRPr="004C75E0" w:rsidRDefault="00D51954" w:rsidP="00425816">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Luapula</w:t>
            </w:r>
          </w:p>
        </w:tc>
        <w:tc>
          <w:tcPr>
            <w:tcW w:w="411" w:type="pct"/>
          </w:tcPr>
          <w:p w14:paraId="187DB4A1"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76.4</w:t>
            </w:r>
          </w:p>
        </w:tc>
        <w:tc>
          <w:tcPr>
            <w:tcW w:w="411" w:type="pct"/>
          </w:tcPr>
          <w:p w14:paraId="321AAA40"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95.5</w:t>
            </w:r>
          </w:p>
        </w:tc>
        <w:tc>
          <w:tcPr>
            <w:tcW w:w="443" w:type="pct"/>
          </w:tcPr>
          <w:p w14:paraId="44021797"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109.6</w:t>
            </w:r>
          </w:p>
        </w:tc>
        <w:tc>
          <w:tcPr>
            <w:tcW w:w="443" w:type="pct"/>
          </w:tcPr>
          <w:p w14:paraId="1F4FDA7E"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108.0</w:t>
            </w:r>
          </w:p>
        </w:tc>
        <w:tc>
          <w:tcPr>
            <w:tcW w:w="443" w:type="pct"/>
          </w:tcPr>
          <w:p w14:paraId="557DD70F"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104.5</w:t>
            </w:r>
          </w:p>
        </w:tc>
        <w:tc>
          <w:tcPr>
            <w:tcW w:w="817" w:type="pct"/>
          </w:tcPr>
          <w:p w14:paraId="57B038A2"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28.1</w:t>
            </w:r>
          </w:p>
        </w:tc>
        <w:tc>
          <w:tcPr>
            <w:tcW w:w="946" w:type="pct"/>
          </w:tcPr>
          <w:p w14:paraId="1E79850E"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Target met</w:t>
            </w:r>
          </w:p>
        </w:tc>
      </w:tr>
      <w:tr w:rsidR="00D51954" w:rsidRPr="004C75E0" w14:paraId="5006D17C" w14:textId="77777777" w:rsidTr="00D51954">
        <w:trPr>
          <w:gridAfter w:val="1"/>
          <w:wAfter w:w="96" w:type="pct"/>
        </w:trPr>
        <w:tc>
          <w:tcPr>
            <w:cnfStyle w:val="001000000000" w:firstRow="0" w:lastRow="0" w:firstColumn="1" w:lastColumn="0" w:oddVBand="0" w:evenVBand="0" w:oddHBand="0" w:evenHBand="0" w:firstRowFirstColumn="0" w:firstRowLastColumn="0" w:lastRowFirstColumn="0" w:lastRowLastColumn="0"/>
            <w:tcW w:w="990" w:type="pct"/>
          </w:tcPr>
          <w:p w14:paraId="05C03CCF" w14:textId="77777777" w:rsidR="00D51954" w:rsidRPr="004C75E0" w:rsidRDefault="00D51954" w:rsidP="00425816">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Lusaka</w:t>
            </w:r>
          </w:p>
        </w:tc>
        <w:tc>
          <w:tcPr>
            <w:tcW w:w="411" w:type="pct"/>
          </w:tcPr>
          <w:p w14:paraId="6BA9CC6E"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75.6</w:t>
            </w:r>
          </w:p>
        </w:tc>
        <w:tc>
          <w:tcPr>
            <w:tcW w:w="411" w:type="pct"/>
          </w:tcPr>
          <w:p w14:paraId="2EB3E033"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94.6</w:t>
            </w:r>
          </w:p>
        </w:tc>
        <w:tc>
          <w:tcPr>
            <w:tcW w:w="443" w:type="pct"/>
          </w:tcPr>
          <w:p w14:paraId="45ACD932"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102.3</w:t>
            </w:r>
          </w:p>
        </w:tc>
        <w:tc>
          <w:tcPr>
            <w:tcW w:w="443" w:type="pct"/>
          </w:tcPr>
          <w:p w14:paraId="131536BF"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96.9</w:t>
            </w:r>
          </w:p>
        </w:tc>
        <w:tc>
          <w:tcPr>
            <w:tcW w:w="443" w:type="pct"/>
          </w:tcPr>
          <w:p w14:paraId="2FE20039"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71</w:t>
            </w:r>
          </w:p>
        </w:tc>
        <w:tc>
          <w:tcPr>
            <w:tcW w:w="817" w:type="pct"/>
          </w:tcPr>
          <w:p w14:paraId="0C2F6573"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-4.6</w:t>
            </w:r>
          </w:p>
        </w:tc>
        <w:tc>
          <w:tcPr>
            <w:tcW w:w="946" w:type="pct"/>
          </w:tcPr>
          <w:p w14:paraId="11539EFC"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29</w:t>
            </w:r>
          </w:p>
        </w:tc>
      </w:tr>
      <w:tr w:rsidR="00D51954" w:rsidRPr="004C75E0" w14:paraId="70B68FBC" w14:textId="77777777" w:rsidTr="00D51954">
        <w:trPr>
          <w:gridAfter w:val="1"/>
          <w:cnfStyle w:val="000000100000" w:firstRow="0" w:lastRow="0" w:firstColumn="0" w:lastColumn="0" w:oddVBand="0" w:evenVBand="0" w:oddHBand="1" w:evenHBand="0" w:firstRowFirstColumn="0" w:firstRowLastColumn="0" w:lastRowFirstColumn="0" w:lastRowLastColumn="0"/>
          <w:wAfter w:w="96" w:type="pct"/>
        </w:trPr>
        <w:tc>
          <w:tcPr>
            <w:cnfStyle w:val="001000000000" w:firstRow="0" w:lastRow="0" w:firstColumn="1" w:lastColumn="0" w:oddVBand="0" w:evenVBand="0" w:oddHBand="0" w:evenHBand="0" w:firstRowFirstColumn="0" w:firstRowLastColumn="0" w:lastRowFirstColumn="0" w:lastRowLastColumn="0"/>
            <w:tcW w:w="990" w:type="pct"/>
          </w:tcPr>
          <w:p w14:paraId="309F54C5" w14:textId="77777777" w:rsidR="00D51954" w:rsidRPr="004C75E0" w:rsidRDefault="00D51954" w:rsidP="00425816">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North-Western</w:t>
            </w:r>
          </w:p>
        </w:tc>
        <w:tc>
          <w:tcPr>
            <w:tcW w:w="411" w:type="pct"/>
          </w:tcPr>
          <w:p w14:paraId="6FDA9BEB"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85.5</w:t>
            </w:r>
          </w:p>
        </w:tc>
        <w:tc>
          <w:tcPr>
            <w:tcW w:w="411" w:type="pct"/>
          </w:tcPr>
          <w:p w14:paraId="60E582E3"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94.6</w:t>
            </w:r>
          </w:p>
        </w:tc>
        <w:tc>
          <w:tcPr>
            <w:tcW w:w="443" w:type="pct"/>
          </w:tcPr>
          <w:p w14:paraId="5FDB1B00"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109.3</w:t>
            </w:r>
          </w:p>
        </w:tc>
        <w:tc>
          <w:tcPr>
            <w:tcW w:w="443" w:type="pct"/>
          </w:tcPr>
          <w:p w14:paraId="73A7B559"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113.4</w:t>
            </w:r>
          </w:p>
        </w:tc>
        <w:tc>
          <w:tcPr>
            <w:tcW w:w="443" w:type="pct"/>
          </w:tcPr>
          <w:p w14:paraId="03E51C2F"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111.9</w:t>
            </w:r>
          </w:p>
        </w:tc>
        <w:tc>
          <w:tcPr>
            <w:tcW w:w="817" w:type="pct"/>
          </w:tcPr>
          <w:p w14:paraId="0776EC80"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26.4</w:t>
            </w:r>
          </w:p>
        </w:tc>
        <w:tc>
          <w:tcPr>
            <w:tcW w:w="946" w:type="pct"/>
          </w:tcPr>
          <w:p w14:paraId="785BB187"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Target met</w:t>
            </w:r>
          </w:p>
        </w:tc>
      </w:tr>
      <w:tr w:rsidR="00D51954" w:rsidRPr="004C75E0" w14:paraId="644E183C" w14:textId="77777777" w:rsidTr="00D51954">
        <w:trPr>
          <w:gridAfter w:val="1"/>
          <w:wAfter w:w="96" w:type="pct"/>
        </w:trPr>
        <w:tc>
          <w:tcPr>
            <w:cnfStyle w:val="001000000000" w:firstRow="0" w:lastRow="0" w:firstColumn="1" w:lastColumn="0" w:oddVBand="0" w:evenVBand="0" w:oddHBand="0" w:evenHBand="0" w:firstRowFirstColumn="0" w:firstRowLastColumn="0" w:lastRowFirstColumn="0" w:lastRowLastColumn="0"/>
            <w:tcW w:w="990" w:type="pct"/>
          </w:tcPr>
          <w:p w14:paraId="26B51DB4" w14:textId="77777777" w:rsidR="00D51954" w:rsidRPr="004C75E0" w:rsidRDefault="00D51954" w:rsidP="00425816">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Northern</w:t>
            </w:r>
          </w:p>
        </w:tc>
        <w:tc>
          <w:tcPr>
            <w:tcW w:w="411" w:type="pct"/>
          </w:tcPr>
          <w:p w14:paraId="2DF1BE20"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96.2</w:t>
            </w:r>
          </w:p>
        </w:tc>
        <w:tc>
          <w:tcPr>
            <w:tcW w:w="411" w:type="pct"/>
          </w:tcPr>
          <w:p w14:paraId="390F5AF2"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93.2</w:t>
            </w:r>
          </w:p>
        </w:tc>
        <w:tc>
          <w:tcPr>
            <w:tcW w:w="443" w:type="pct"/>
          </w:tcPr>
          <w:p w14:paraId="1D20CCE9"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112.1</w:t>
            </w:r>
          </w:p>
        </w:tc>
        <w:tc>
          <w:tcPr>
            <w:tcW w:w="443" w:type="pct"/>
          </w:tcPr>
          <w:p w14:paraId="0E61B5B4"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112.1</w:t>
            </w:r>
          </w:p>
        </w:tc>
        <w:tc>
          <w:tcPr>
            <w:tcW w:w="443" w:type="pct"/>
          </w:tcPr>
          <w:p w14:paraId="55847090"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96.0</w:t>
            </w:r>
          </w:p>
        </w:tc>
        <w:tc>
          <w:tcPr>
            <w:tcW w:w="817" w:type="pct"/>
          </w:tcPr>
          <w:p w14:paraId="54DF2AAA"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-0.2</w:t>
            </w:r>
          </w:p>
        </w:tc>
        <w:tc>
          <w:tcPr>
            <w:tcW w:w="946" w:type="pct"/>
          </w:tcPr>
          <w:p w14:paraId="10749A3F"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w:t>
            </w:r>
          </w:p>
        </w:tc>
      </w:tr>
      <w:tr w:rsidR="00D51954" w:rsidRPr="004C75E0" w14:paraId="5F7C2BD9" w14:textId="77777777" w:rsidTr="00D51954">
        <w:trPr>
          <w:gridAfter w:val="1"/>
          <w:cnfStyle w:val="000000100000" w:firstRow="0" w:lastRow="0" w:firstColumn="0" w:lastColumn="0" w:oddVBand="0" w:evenVBand="0" w:oddHBand="1" w:evenHBand="0" w:firstRowFirstColumn="0" w:firstRowLastColumn="0" w:lastRowFirstColumn="0" w:lastRowLastColumn="0"/>
          <w:wAfter w:w="96" w:type="pct"/>
        </w:trPr>
        <w:tc>
          <w:tcPr>
            <w:cnfStyle w:val="001000000000" w:firstRow="0" w:lastRow="0" w:firstColumn="1" w:lastColumn="0" w:oddVBand="0" w:evenVBand="0" w:oddHBand="0" w:evenHBand="0" w:firstRowFirstColumn="0" w:firstRowLastColumn="0" w:lastRowFirstColumn="0" w:lastRowLastColumn="0"/>
            <w:tcW w:w="990" w:type="pct"/>
          </w:tcPr>
          <w:p w14:paraId="23049C3A" w14:textId="77777777" w:rsidR="00D51954" w:rsidRPr="004C75E0" w:rsidRDefault="00D51954" w:rsidP="00425816">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Southern</w:t>
            </w:r>
          </w:p>
        </w:tc>
        <w:tc>
          <w:tcPr>
            <w:tcW w:w="411" w:type="pct"/>
          </w:tcPr>
          <w:p w14:paraId="46E903DA"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92.0</w:t>
            </w:r>
          </w:p>
        </w:tc>
        <w:tc>
          <w:tcPr>
            <w:tcW w:w="411" w:type="pct"/>
          </w:tcPr>
          <w:p w14:paraId="53B7959F"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93.5</w:t>
            </w:r>
          </w:p>
        </w:tc>
        <w:tc>
          <w:tcPr>
            <w:tcW w:w="443" w:type="pct"/>
          </w:tcPr>
          <w:p w14:paraId="44F3CBFA"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111.0</w:t>
            </w:r>
          </w:p>
        </w:tc>
        <w:tc>
          <w:tcPr>
            <w:tcW w:w="443" w:type="pct"/>
          </w:tcPr>
          <w:p w14:paraId="57E52024"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111.1</w:t>
            </w:r>
          </w:p>
        </w:tc>
        <w:tc>
          <w:tcPr>
            <w:tcW w:w="443" w:type="pct"/>
          </w:tcPr>
          <w:p w14:paraId="0C0EFB9E"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95.4</w:t>
            </w:r>
          </w:p>
        </w:tc>
        <w:tc>
          <w:tcPr>
            <w:tcW w:w="817" w:type="pct"/>
          </w:tcPr>
          <w:p w14:paraId="35D79D83"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3.4</w:t>
            </w:r>
          </w:p>
        </w:tc>
        <w:tc>
          <w:tcPr>
            <w:tcW w:w="946" w:type="pct"/>
          </w:tcPr>
          <w:p w14:paraId="2BC27E83" w14:textId="77777777" w:rsidR="00D51954" w:rsidRPr="004C75E0" w:rsidRDefault="00D51954" w:rsidP="004258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4.6</w:t>
            </w:r>
          </w:p>
        </w:tc>
      </w:tr>
      <w:tr w:rsidR="00D51954" w:rsidRPr="004C75E0" w14:paraId="114FB70C" w14:textId="77777777" w:rsidTr="00D51954">
        <w:trPr>
          <w:gridAfter w:val="1"/>
          <w:wAfter w:w="96" w:type="pct"/>
        </w:trPr>
        <w:tc>
          <w:tcPr>
            <w:cnfStyle w:val="001000000000" w:firstRow="0" w:lastRow="0" w:firstColumn="1" w:lastColumn="0" w:oddVBand="0" w:evenVBand="0" w:oddHBand="0" w:evenHBand="0" w:firstRowFirstColumn="0" w:firstRowLastColumn="0" w:lastRowFirstColumn="0" w:lastRowLastColumn="0"/>
            <w:tcW w:w="990" w:type="pct"/>
          </w:tcPr>
          <w:p w14:paraId="39AB0FE1" w14:textId="77777777" w:rsidR="00D51954" w:rsidRPr="004C75E0" w:rsidRDefault="00D51954" w:rsidP="00425816">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Western</w:t>
            </w:r>
          </w:p>
        </w:tc>
        <w:tc>
          <w:tcPr>
            <w:tcW w:w="411" w:type="pct"/>
          </w:tcPr>
          <w:p w14:paraId="52E6B13B"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85.9</w:t>
            </w:r>
          </w:p>
        </w:tc>
        <w:tc>
          <w:tcPr>
            <w:tcW w:w="411" w:type="pct"/>
          </w:tcPr>
          <w:p w14:paraId="6AAFF3A6"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94.8</w:t>
            </w:r>
          </w:p>
        </w:tc>
        <w:tc>
          <w:tcPr>
            <w:tcW w:w="443" w:type="pct"/>
          </w:tcPr>
          <w:p w14:paraId="7B2314B2"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115.2</w:t>
            </w:r>
          </w:p>
        </w:tc>
        <w:tc>
          <w:tcPr>
            <w:tcW w:w="443" w:type="pct"/>
          </w:tcPr>
          <w:p w14:paraId="0BDDF85D"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118.5</w:t>
            </w:r>
          </w:p>
        </w:tc>
        <w:tc>
          <w:tcPr>
            <w:tcW w:w="443" w:type="pct"/>
          </w:tcPr>
          <w:p w14:paraId="5D8DB976"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100.3</w:t>
            </w:r>
          </w:p>
        </w:tc>
        <w:tc>
          <w:tcPr>
            <w:tcW w:w="817" w:type="pct"/>
          </w:tcPr>
          <w:p w14:paraId="2110CE1E"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14.4</w:t>
            </w:r>
          </w:p>
        </w:tc>
        <w:tc>
          <w:tcPr>
            <w:tcW w:w="946" w:type="pct"/>
          </w:tcPr>
          <w:p w14:paraId="1CC01E1B" w14:textId="77777777" w:rsidR="00D51954" w:rsidRPr="004C75E0" w:rsidRDefault="00D51954" w:rsidP="004258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Target Met</w:t>
            </w:r>
          </w:p>
        </w:tc>
      </w:tr>
    </w:tbl>
    <w:p w14:paraId="3A2DF48B" w14:textId="081462D8" w:rsidR="00E13D3B" w:rsidRPr="004C75E0" w:rsidRDefault="00E13D3B" w:rsidP="00A60BD4">
      <w:pPr>
        <w:spacing w:line="360" w:lineRule="auto"/>
        <w:jc w:val="both"/>
        <w:rPr>
          <w:rFonts w:ascii="Times New Roman" w:hAnsi="Times New Roman" w:cs="Times New Roman"/>
          <w:b/>
          <w:color w:val="000000"/>
          <w:sz w:val="24"/>
          <w:szCs w:val="24"/>
          <w:lang w:val="en-US"/>
        </w:rPr>
      </w:pPr>
      <w:r w:rsidRPr="004C75E0">
        <w:rPr>
          <w:rFonts w:ascii="Times New Roman" w:hAnsi="Times New Roman" w:cs="Times New Roman"/>
          <w:b/>
          <w:color w:val="000000"/>
          <w:sz w:val="24"/>
          <w:szCs w:val="24"/>
          <w:u w:val="single"/>
          <w:lang w:val="en-US"/>
        </w:rPr>
        <w:t>Source</w:t>
      </w:r>
      <w:r w:rsidRPr="004C75E0">
        <w:rPr>
          <w:rFonts w:ascii="Times New Roman" w:hAnsi="Times New Roman" w:cs="Times New Roman"/>
          <w:b/>
          <w:color w:val="000000"/>
          <w:sz w:val="24"/>
          <w:szCs w:val="24"/>
          <w:lang w:val="en-US"/>
        </w:rPr>
        <w:t xml:space="preserve">: </w:t>
      </w:r>
      <w:r w:rsidRPr="004C75E0">
        <w:rPr>
          <w:rFonts w:ascii="Times New Roman" w:hAnsi="Times New Roman" w:cs="Times New Roman"/>
          <w:color w:val="000000"/>
          <w:sz w:val="24"/>
          <w:szCs w:val="24"/>
          <w:lang w:val="en-US"/>
        </w:rPr>
        <w:t>MOE Annual Statistical Bulletins</w:t>
      </w:r>
      <w:r w:rsidR="00D51954">
        <w:rPr>
          <w:rFonts w:ascii="Times New Roman" w:hAnsi="Times New Roman" w:cs="Times New Roman"/>
          <w:color w:val="000000"/>
          <w:sz w:val="24"/>
          <w:szCs w:val="24"/>
          <w:lang w:val="en-US"/>
        </w:rPr>
        <w:t xml:space="preserve"> (2004-2014)</w:t>
      </w:r>
    </w:p>
    <w:p w14:paraId="6E0EF5D2" w14:textId="6774F633" w:rsidR="00693A1C" w:rsidRDefault="00537543" w:rsidP="00A60BD4">
      <w:pPr>
        <w:spacing w:line="360" w:lineRule="auto"/>
        <w:jc w:val="both"/>
        <w:rPr>
          <w:rFonts w:ascii="Times New Roman" w:hAnsi="Times New Roman" w:cs="Times New Roman"/>
          <w:color w:val="000000"/>
          <w:sz w:val="24"/>
          <w:szCs w:val="24"/>
          <w:lang w:val="en-US"/>
        </w:rPr>
      </w:pPr>
      <w:r w:rsidRPr="004C75E0">
        <w:rPr>
          <w:rFonts w:ascii="Times New Roman" w:hAnsi="Times New Roman" w:cs="Times New Roman"/>
          <w:color w:val="000000"/>
          <w:sz w:val="24"/>
          <w:szCs w:val="24"/>
          <w:lang w:val="en-US"/>
        </w:rPr>
        <w:t>At the provincial level, the picture of progress</w:t>
      </w:r>
      <w:r w:rsidR="009617B7">
        <w:rPr>
          <w:rFonts w:ascii="Times New Roman" w:hAnsi="Times New Roman" w:cs="Times New Roman"/>
          <w:color w:val="000000"/>
          <w:sz w:val="24"/>
          <w:szCs w:val="24"/>
          <w:lang w:val="en-US"/>
        </w:rPr>
        <w:t xml:space="preserve"> during the reference period</w:t>
      </w:r>
      <w:r w:rsidRPr="004C75E0">
        <w:rPr>
          <w:rFonts w:ascii="Times New Roman" w:hAnsi="Times New Roman" w:cs="Times New Roman"/>
          <w:color w:val="000000"/>
          <w:sz w:val="24"/>
          <w:szCs w:val="24"/>
          <w:lang w:val="en-US"/>
        </w:rPr>
        <w:t xml:space="preserve"> was mixed</w:t>
      </w:r>
      <w:r w:rsidR="009617B7">
        <w:rPr>
          <w:rFonts w:ascii="Times New Roman" w:hAnsi="Times New Roman" w:cs="Times New Roman"/>
          <w:color w:val="000000"/>
          <w:sz w:val="24"/>
          <w:szCs w:val="24"/>
          <w:lang w:val="en-US"/>
        </w:rPr>
        <w:t xml:space="preserve"> (Figure 3.2</w:t>
      </w:r>
      <w:r w:rsidR="00963AC7">
        <w:rPr>
          <w:rFonts w:ascii="Times New Roman" w:hAnsi="Times New Roman" w:cs="Times New Roman"/>
          <w:color w:val="000000"/>
          <w:sz w:val="24"/>
          <w:szCs w:val="24"/>
          <w:lang w:val="en-US"/>
        </w:rPr>
        <w:t xml:space="preserve"> above</w:t>
      </w:r>
      <w:r w:rsidR="009617B7">
        <w:rPr>
          <w:rFonts w:ascii="Times New Roman" w:hAnsi="Times New Roman" w:cs="Times New Roman"/>
          <w:color w:val="000000"/>
          <w:sz w:val="24"/>
          <w:szCs w:val="24"/>
          <w:lang w:val="en-US"/>
        </w:rPr>
        <w:t>)</w:t>
      </w:r>
      <w:r w:rsidRPr="004C75E0">
        <w:rPr>
          <w:rFonts w:ascii="Times New Roman" w:hAnsi="Times New Roman" w:cs="Times New Roman"/>
          <w:color w:val="000000"/>
          <w:sz w:val="24"/>
          <w:szCs w:val="24"/>
          <w:lang w:val="en-US"/>
        </w:rPr>
        <w:t xml:space="preserve">. </w:t>
      </w:r>
      <w:r w:rsidR="009617B7">
        <w:rPr>
          <w:rFonts w:ascii="Times New Roman" w:hAnsi="Times New Roman" w:cs="Times New Roman"/>
          <w:color w:val="000000"/>
          <w:sz w:val="24"/>
          <w:szCs w:val="24"/>
          <w:lang w:val="en-US"/>
        </w:rPr>
        <w:t xml:space="preserve">Four provinces </w:t>
      </w:r>
      <w:r w:rsidR="009617B7" w:rsidRPr="004C75E0">
        <w:rPr>
          <w:rFonts w:ascii="Times New Roman" w:hAnsi="Times New Roman" w:cs="Times New Roman"/>
          <w:color w:val="000000"/>
          <w:sz w:val="24"/>
          <w:szCs w:val="24"/>
          <w:lang w:val="en-US"/>
        </w:rPr>
        <w:t>made</w:t>
      </w:r>
      <w:r w:rsidR="00E13D3B" w:rsidRPr="004C75E0">
        <w:rPr>
          <w:rFonts w:ascii="Times New Roman" w:hAnsi="Times New Roman" w:cs="Times New Roman"/>
          <w:color w:val="000000"/>
          <w:sz w:val="24"/>
          <w:szCs w:val="24"/>
          <w:lang w:val="en-US"/>
        </w:rPr>
        <w:t xml:space="preserve"> considerable strides to improve their prim</w:t>
      </w:r>
      <w:r w:rsidR="00C35EB4">
        <w:rPr>
          <w:rFonts w:ascii="Times New Roman" w:hAnsi="Times New Roman" w:cs="Times New Roman"/>
          <w:color w:val="000000"/>
          <w:sz w:val="24"/>
          <w:szCs w:val="24"/>
          <w:lang w:val="en-US"/>
        </w:rPr>
        <w:t>ary school net enrolments rates</w:t>
      </w:r>
      <w:r w:rsidR="00E13D3B" w:rsidRPr="004C75E0">
        <w:rPr>
          <w:rFonts w:ascii="Times New Roman" w:hAnsi="Times New Roman" w:cs="Times New Roman"/>
          <w:color w:val="000000"/>
          <w:sz w:val="24"/>
          <w:szCs w:val="24"/>
          <w:lang w:val="en-US"/>
        </w:rPr>
        <w:t xml:space="preserve"> by more th</w:t>
      </w:r>
      <w:r w:rsidR="009617B7">
        <w:rPr>
          <w:rFonts w:ascii="Times New Roman" w:hAnsi="Times New Roman" w:cs="Times New Roman"/>
          <w:color w:val="000000"/>
          <w:sz w:val="24"/>
          <w:szCs w:val="24"/>
          <w:lang w:val="en-US"/>
        </w:rPr>
        <w:t>an 20 percentage points (Table 3</w:t>
      </w:r>
      <w:r w:rsidR="00E13D3B" w:rsidRPr="004C75E0">
        <w:rPr>
          <w:rFonts w:ascii="Times New Roman" w:hAnsi="Times New Roman" w:cs="Times New Roman"/>
          <w:color w:val="000000"/>
          <w:sz w:val="24"/>
          <w:szCs w:val="24"/>
          <w:lang w:val="en-US"/>
        </w:rPr>
        <w:t>.2). These are Central, Eas</w:t>
      </w:r>
      <w:r w:rsidR="009617B7">
        <w:rPr>
          <w:rFonts w:ascii="Times New Roman" w:hAnsi="Times New Roman" w:cs="Times New Roman"/>
          <w:color w:val="000000"/>
          <w:sz w:val="24"/>
          <w:szCs w:val="24"/>
          <w:lang w:val="en-US"/>
        </w:rPr>
        <w:t>tern, Luapula and North-Western</w:t>
      </w:r>
      <w:r w:rsidR="00E13D3B" w:rsidRPr="004C75E0">
        <w:rPr>
          <w:rFonts w:ascii="Times New Roman" w:hAnsi="Times New Roman" w:cs="Times New Roman"/>
          <w:color w:val="000000"/>
          <w:sz w:val="24"/>
          <w:szCs w:val="24"/>
          <w:lang w:val="en-US"/>
        </w:rPr>
        <w:t xml:space="preserve">. Two provinces, Southern and Western, registered increases in primary school enrolment ratios of 1-20 percentage points in the last decade. </w:t>
      </w:r>
      <w:r w:rsidR="00E43D26">
        <w:rPr>
          <w:rFonts w:ascii="Times New Roman" w:hAnsi="Times New Roman" w:cs="Times New Roman"/>
          <w:color w:val="000000"/>
          <w:sz w:val="24"/>
          <w:szCs w:val="24"/>
          <w:lang w:val="en-US"/>
        </w:rPr>
        <w:t xml:space="preserve">However, a few </w:t>
      </w:r>
      <w:r w:rsidR="00C35EB4">
        <w:rPr>
          <w:rFonts w:ascii="Times New Roman" w:hAnsi="Times New Roman" w:cs="Times New Roman"/>
          <w:color w:val="000000"/>
          <w:sz w:val="24"/>
          <w:szCs w:val="24"/>
          <w:lang w:val="en-US"/>
        </w:rPr>
        <w:t xml:space="preserve">provinces </w:t>
      </w:r>
      <w:r w:rsidR="00C35EB4" w:rsidRPr="004C75E0">
        <w:rPr>
          <w:rFonts w:ascii="Times New Roman" w:hAnsi="Times New Roman" w:cs="Times New Roman"/>
          <w:color w:val="000000"/>
          <w:sz w:val="24"/>
          <w:szCs w:val="24"/>
          <w:lang w:val="en-US"/>
        </w:rPr>
        <w:t>suffered</w:t>
      </w:r>
      <w:r w:rsidR="00E13D3B" w:rsidRPr="004C75E0">
        <w:rPr>
          <w:rFonts w:ascii="Times New Roman" w:hAnsi="Times New Roman" w:cs="Times New Roman"/>
          <w:color w:val="000000"/>
          <w:sz w:val="24"/>
          <w:szCs w:val="24"/>
          <w:lang w:val="en-US"/>
        </w:rPr>
        <w:t xml:space="preserve"> notable reversals in net enrolment in primary education </w:t>
      </w:r>
      <w:r w:rsidR="00C35EB4" w:rsidRPr="004C75E0">
        <w:rPr>
          <w:rFonts w:ascii="Times New Roman" w:hAnsi="Times New Roman" w:cs="Times New Roman"/>
          <w:color w:val="000000"/>
          <w:sz w:val="24"/>
          <w:szCs w:val="24"/>
          <w:lang w:val="en-US"/>
        </w:rPr>
        <w:t xml:space="preserve">over </w:t>
      </w:r>
      <w:r w:rsidR="00C35EB4">
        <w:rPr>
          <w:rFonts w:ascii="Times New Roman" w:hAnsi="Times New Roman" w:cs="Times New Roman"/>
          <w:color w:val="000000"/>
          <w:sz w:val="24"/>
          <w:szCs w:val="24"/>
          <w:lang w:val="en-US"/>
        </w:rPr>
        <w:t>the</w:t>
      </w:r>
      <w:r w:rsidR="00E43D26">
        <w:rPr>
          <w:rFonts w:ascii="Times New Roman" w:hAnsi="Times New Roman" w:cs="Times New Roman"/>
          <w:color w:val="000000"/>
          <w:sz w:val="24"/>
          <w:szCs w:val="24"/>
          <w:lang w:val="en-US"/>
        </w:rPr>
        <w:t xml:space="preserve"> same period</w:t>
      </w:r>
      <w:r w:rsidR="00E13D3B" w:rsidRPr="004C75E0">
        <w:rPr>
          <w:rFonts w:ascii="Times New Roman" w:hAnsi="Times New Roman" w:cs="Times New Roman"/>
          <w:color w:val="000000"/>
          <w:sz w:val="24"/>
          <w:szCs w:val="24"/>
          <w:lang w:val="en-US"/>
        </w:rPr>
        <w:t>, including Copper belt, Lusaka and</w:t>
      </w:r>
      <w:r w:rsidR="009617B7">
        <w:rPr>
          <w:rFonts w:ascii="Times New Roman" w:hAnsi="Times New Roman" w:cs="Times New Roman"/>
          <w:color w:val="000000"/>
          <w:sz w:val="24"/>
          <w:szCs w:val="24"/>
          <w:lang w:val="en-US"/>
        </w:rPr>
        <w:t xml:space="preserve"> Northern Provinces (see Table 3</w:t>
      </w:r>
      <w:r w:rsidR="00E13D3B" w:rsidRPr="004C75E0">
        <w:rPr>
          <w:rFonts w:ascii="Times New Roman" w:hAnsi="Times New Roman" w:cs="Times New Roman"/>
          <w:color w:val="000000"/>
          <w:sz w:val="24"/>
          <w:szCs w:val="24"/>
          <w:lang w:val="en-US"/>
        </w:rPr>
        <w:t>.3).</w:t>
      </w:r>
      <w:r w:rsidR="000E2BCC">
        <w:rPr>
          <w:rFonts w:ascii="Times New Roman" w:hAnsi="Times New Roman" w:cs="Times New Roman"/>
          <w:color w:val="000000"/>
          <w:sz w:val="24"/>
          <w:szCs w:val="24"/>
          <w:lang w:val="en-US"/>
        </w:rPr>
        <w:t xml:space="preserve"> This raises concerns about the pattern o</w:t>
      </w:r>
      <w:r w:rsidR="00963AC7">
        <w:rPr>
          <w:rFonts w:ascii="Times New Roman" w:hAnsi="Times New Roman" w:cs="Times New Roman"/>
          <w:color w:val="000000"/>
          <w:sz w:val="24"/>
          <w:szCs w:val="24"/>
          <w:lang w:val="en-US"/>
        </w:rPr>
        <w:t>f access to education provision</w:t>
      </w:r>
      <w:r w:rsidR="000E2BCC">
        <w:rPr>
          <w:rFonts w:ascii="Times New Roman" w:hAnsi="Times New Roman" w:cs="Times New Roman"/>
          <w:color w:val="000000"/>
          <w:sz w:val="24"/>
          <w:szCs w:val="24"/>
          <w:lang w:val="en-US"/>
        </w:rPr>
        <w:t xml:space="preserve"> in the country.</w:t>
      </w:r>
    </w:p>
    <w:p w14:paraId="5035D0DF" w14:textId="77777777" w:rsidR="00693A1C" w:rsidRDefault="00693A1C" w:rsidP="00893C5F">
      <w:pPr>
        <w:pStyle w:val="NoSpacing"/>
        <w:rPr>
          <w:rFonts w:ascii="Times New Roman" w:hAnsi="Times New Roman" w:cs="Times New Roman"/>
          <w:color w:val="000000"/>
          <w:sz w:val="24"/>
          <w:szCs w:val="24"/>
        </w:rPr>
      </w:pPr>
    </w:p>
    <w:p w14:paraId="1AADBE16" w14:textId="77777777" w:rsidR="00E13D3B" w:rsidRPr="00893C5F" w:rsidRDefault="00E13D3B" w:rsidP="00893C5F">
      <w:pPr>
        <w:pStyle w:val="NoSpacing"/>
        <w:rPr>
          <w:rFonts w:ascii="Times New Roman" w:hAnsi="Times New Roman" w:cs="Times New Roman"/>
          <w:b/>
        </w:rPr>
      </w:pPr>
      <w:r w:rsidRPr="00893C5F">
        <w:rPr>
          <w:rStyle w:val="NoSpacingChar"/>
          <w:rFonts w:ascii="Times New Roman" w:hAnsi="Times New Roman" w:cs="Times New Roman"/>
          <w:b/>
        </w:rPr>
        <w:t>T</w:t>
      </w:r>
      <w:r w:rsidR="009617B7">
        <w:rPr>
          <w:rFonts w:ascii="Times New Roman" w:hAnsi="Times New Roman" w:cs="Times New Roman"/>
          <w:b/>
        </w:rPr>
        <w:t>able 3</w:t>
      </w:r>
      <w:r w:rsidRPr="00893C5F">
        <w:rPr>
          <w:rFonts w:ascii="Times New Roman" w:hAnsi="Times New Roman" w:cs="Times New Roman"/>
          <w:b/>
        </w:rPr>
        <w:t xml:space="preserve">.3 Net Enrolment Changes in Primary Education by Province, </w:t>
      </w:r>
      <w:r w:rsidRPr="00963AC7">
        <w:rPr>
          <w:rFonts w:ascii="Times New Roman" w:hAnsi="Times New Roman" w:cs="Times New Roman"/>
          <w:b/>
        </w:rPr>
        <w:t>2004</w:t>
      </w:r>
      <w:r w:rsidRPr="00893C5F">
        <w:rPr>
          <w:rFonts w:ascii="Times New Roman" w:hAnsi="Times New Roman" w:cs="Times New Roman"/>
          <w:b/>
        </w:rPr>
        <w:t>-2014</w:t>
      </w:r>
    </w:p>
    <w:tbl>
      <w:tblPr>
        <w:tblStyle w:val="PlainTable210"/>
        <w:tblW w:w="0" w:type="auto"/>
        <w:tblLook w:val="04A0" w:firstRow="1" w:lastRow="0" w:firstColumn="1" w:lastColumn="0" w:noHBand="0" w:noVBand="1"/>
      </w:tblPr>
      <w:tblGrid>
        <w:gridCol w:w="1683"/>
        <w:gridCol w:w="1465"/>
        <w:gridCol w:w="1467"/>
        <w:gridCol w:w="1467"/>
        <w:gridCol w:w="1467"/>
        <w:gridCol w:w="1467"/>
      </w:tblGrid>
      <w:tr w:rsidR="00E13D3B" w:rsidRPr="004C75E0" w14:paraId="7084ADFD" w14:textId="77777777" w:rsidTr="000A2C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8" w:type="dxa"/>
            <w:gridSpan w:val="2"/>
          </w:tcPr>
          <w:p w14:paraId="166200C0" w14:textId="77777777" w:rsidR="00E13D3B" w:rsidRPr="004C75E0" w:rsidRDefault="00E13D3B" w:rsidP="00E54282">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 xml:space="preserve">Gains of 20 </w:t>
            </w:r>
          </w:p>
          <w:p w14:paraId="48C3866A" w14:textId="77777777" w:rsidR="00E13D3B" w:rsidRPr="004C75E0" w:rsidRDefault="00E13D3B" w:rsidP="00E54282">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Percentage Points or More</w:t>
            </w:r>
          </w:p>
        </w:tc>
        <w:tc>
          <w:tcPr>
            <w:tcW w:w="2934" w:type="dxa"/>
            <w:gridSpan w:val="2"/>
          </w:tcPr>
          <w:p w14:paraId="100860FC" w14:textId="77777777" w:rsidR="00E13D3B" w:rsidRPr="004C75E0" w:rsidRDefault="00E13D3B" w:rsidP="00E5428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 xml:space="preserve">Gains of 1-20 </w:t>
            </w:r>
          </w:p>
          <w:p w14:paraId="2C7D5A2C" w14:textId="77777777" w:rsidR="00E13D3B" w:rsidRPr="004C75E0" w:rsidRDefault="00E13D3B" w:rsidP="00E5428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Percentage Points</w:t>
            </w:r>
          </w:p>
        </w:tc>
        <w:tc>
          <w:tcPr>
            <w:tcW w:w="2934" w:type="dxa"/>
            <w:gridSpan w:val="2"/>
          </w:tcPr>
          <w:p w14:paraId="5FF90D6B" w14:textId="77777777" w:rsidR="00E13D3B" w:rsidRPr="004C75E0" w:rsidRDefault="00E13D3B" w:rsidP="00E5428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Declines</w:t>
            </w:r>
          </w:p>
        </w:tc>
      </w:tr>
      <w:tr w:rsidR="00E13D3B" w:rsidRPr="004C75E0" w14:paraId="243414DE" w14:textId="77777777" w:rsidTr="000A2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3" w:type="dxa"/>
          </w:tcPr>
          <w:p w14:paraId="2D13C73C" w14:textId="77777777" w:rsidR="00E13D3B" w:rsidRPr="004C75E0" w:rsidRDefault="00E13D3B" w:rsidP="00E54282">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Province</w:t>
            </w:r>
          </w:p>
        </w:tc>
        <w:tc>
          <w:tcPr>
            <w:tcW w:w="1465" w:type="dxa"/>
          </w:tcPr>
          <w:p w14:paraId="6ACF1A3E"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Percentage gains</w:t>
            </w:r>
          </w:p>
        </w:tc>
        <w:tc>
          <w:tcPr>
            <w:tcW w:w="1467" w:type="dxa"/>
          </w:tcPr>
          <w:p w14:paraId="262EA760"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Province</w:t>
            </w:r>
          </w:p>
        </w:tc>
        <w:tc>
          <w:tcPr>
            <w:tcW w:w="1467" w:type="dxa"/>
          </w:tcPr>
          <w:p w14:paraId="66D7C23F"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Percentage gains</w:t>
            </w:r>
          </w:p>
        </w:tc>
        <w:tc>
          <w:tcPr>
            <w:tcW w:w="1467" w:type="dxa"/>
          </w:tcPr>
          <w:p w14:paraId="7E43E9D0"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Province</w:t>
            </w:r>
          </w:p>
        </w:tc>
        <w:tc>
          <w:tcPr>
            <w:tcW w:w="1467" w:type="dxa"/>
          </w:tcPr>
          <w:p w14:paraId="0E6DC53B"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Percentage gains</w:t>
            </w:r>
          </w:p>
        </w:tc>
      </w:tr>
      <w:tr w:rsidR="00E13D3B" w:rsidRPr="004C75E0" w14:paraId="7FBF9665" w14:textId="77777777" w:rsidTr="000A2C73">
        <w:tc>
          <w:tcPr>
            <w:cnfStyle w:val="001000000000" w:firstRow="0" w:lastRow="0" w:firstColumn="1" w:lastColumn="0" w:oddVBand="0" w:evenVBand="0" w:oddHBand="0" w:evenHBand="0" w:firstRowFirstColumn="0" w:firstRowLastColumn="0" w:lastRowFirstColumn="0" w:lastRowLastColumn="0"/>
            <w:tcW w:w="1683" w:type="dxa"/>
          </w:tcPr>
          <w:p w14:paraId="7D115778" w14:textId="77777777" w:rsidR="00E13D3B" w:rsidRPr="004C75E0" w:rsidRDefault="00E13D3B" w:rsidP="00E54282">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Central Province</w:t>
            </w:r>
          </w:p>
        </w:tc>
        <w:tc>
          <w:tcPr>
            <w:tcW w:w="1465" w:type="dxa"/>
          </w:tcPr>
          <w:p w14:paraId="1D559A18"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29.6</w:t>
            </w:r>
          </w:p>
        </w:tc>
        <w:tc>
          <w:tcPr>
            <w:tcW w:w="1467" w:type="dxa"/>
          </w:tcPr>
          <w:p w14:paraId="78055C2A"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18"/>
                <w:szCs w:val="18"/>
              </w:rPr>
            </w:pPr>
            <w:r w:rsidRPr="004C75E0">
              <w:rPr>
                <w:rFonts w:ascii="Times New Roman" w:hAnsi="Times New Roman" w:cs="Times New Roman"/>
                <w:b/>
                <w:color w:val="000000"/>
                <w:sz w:val="18"/>
                <w:szCs w:val="18"/>
              </w:rPr>
              <w:t>Southern Province</w:t>
            </w:r>
          </w:p>
        </w:tc>
        <w:tc>
          <w:tcPr>
            <w:tcW w:w="1467" w:type="dxa"/>
          </w:tcPr>
          <w:p w14:paraId="00ADA21C"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3.4</w:t>
            </w:r>
          </w:p>
        </w:tc>
        <w:tc>
          <w:tcPr>
            <w:tcW w:w="1467" w:type="dxa"/>
          </w:tcPr>
          <w:p w14:paraId="2030C08D"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18"/>
                <w:szCs w:val="18"/>
              </w:rPr>
            </w:pPr>
            <w:r w:rsidRPr="004C75E0">
              <w:rPr>
                <w:rFonts w:ascii="Times New Roman" w:hAnsi="Times New Roman" w:cs="Times New Roman"/>
                <w:b/>
                <w:color w:val="000000"/>
                <w:sz w:val="18"/>
                <w:szCs w:val="18"/>
              </w:rPr>
              <w:t>Copperbelt</w:t>
            </w:r>
          </w:p>
        </w:tc>
        <w:tc>
          <w:tcPr>
            <w:tcW w:w="1467" w:type="dxa"/>
          </w:tcPr>
          <w:p w14:paraId="0957936E"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-9.9</w:t>
            </w:r>
          </w:p>
        </w:tc>
      </w:tr>
      <w:tr w:rsidR="00E13D3B" w:rsidRPr="004C75E0" w14:paraId="616036F4" w14:textId="77777777" w:rsidTr="000A2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3" w:type="dxa"/>
          </w:tcPr>
          <w:p w14:paraId="73F9A86C" w14:textId="77777777" w:rsidR="00E13D3B" w:rsidRPr="004C75E0" w:rsidRDefault="00E13D3B" w:rsidP="00E54282">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Eastern Province</w:t>
            </w:r>
          </w:p>
        </w:tc>
        <w:tc>
          <w:tcPr>
            <w:tcW w:w="1465" w:type="dxa"/>
          </w:tcPr>
          <w:p w14:paraId="4BBF25E7"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22.1</w:t>
            </w:r>
          </w:p>
        </w:tc>
        <w:tc>
          <w:tcPr>
            <w:tcW w:w="1467" w:type="dxa"/>
          </w:tcPr>
          <w:p w14:paraId="7F1DF3B1"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sz w:val="18"/>
                <w:szCs w:val="18"/>
              </w:rPr>
            </w:pPr>
            <w:r w:rsidRPr="004C75E0">
              <w:rPr>
                <w:rFonts w:ascii="Times New Roman" w:hAnsi="Times New Roman" w:cs="Times New Roman"/>
                <w:b/>
                <w:color w:val="000000"/>
                <w:sz w:val="18"/>
                <w:szCs w:val="18"/>
              </w:rPr>
              <w:t>Western Province</w:t>
            </w:r>
          </w:p>
        </w:tc>
        <w:tc>
          <w:tcPr>
            <w:tcW w:w="1467" w:type="dxa"/>
          </w:tcPr>
          <w:p w14:paraId="3B1AD944"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14.4</w:t>
            </w:r>
          </w:p>
        </w:tc>
        <w:tc>
          <w:tcPr>
            <w:tcW w:w="1467" w:type="dxa"/>
          </w:tcPr>
          <w:p w14:paraId="100DEB3C"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sz w:val="18"/>
                <w:szCs w:val="18"/>
              </w:rPr>
            </w:pPr>
            <w:r w:rsidRPr="004C75E0">
              <w:rPr>
                <w:rFonts w:ascii="Times New Roman" w:hAnsi="Times New Roman" w:cs="Times New Roman"/>
                <w:b/>
                <w:color w:val="000000"/>
                <w:sz w:val="18"/>
                <w:szCs w:val="18"/>
              </w:rPr>
              <w:t>Lusaka</w:t>
            </w:r>
          </w:p>
        </w:tc>
        <w:tc>
          <w:tcPr>
            <w:tcW w:w="1467" w:type="dxa"/>
          </w:tcPr>
          <w:p w14:paraId="010614FF"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-4.6</w:t>
            </w:r>
          </w:p>
        </w:tc>
      </w:tr>
      <w:tr w:rsidR="00E13D3B" w:rsidRPr="004C75E0" w14:paraId="16E69A66" w14:textId="77777777" w:rsidTr="000A2C73">
        <w:tc>
          <w:tcPr>
            <w:cnfStyle w:val="001000000000" w:firstRow="0" w:lastRow="0" w:firstColumn="1" w:lastColumn="0" w:oddVBand="0" w:evenVBand="0" w:oddHBand="0" w:evenHBand="0" w:firstRowFirstColumn="0" w:firstRowLastColumn="0" w:lastRowFirstColumn="0" w:lastRowLastColumn="0"/>
            <w:tcW w:w="1683" w:type="dxa"/>
          </w:tcPr>
          <w:p w14:paraId="432910F3" w14:textId="77777777" w:rsidR="00E13D3B" w:rsidRPr="004C75E0" w:rsidRDefault="00E13D3B" w:rsidP="00E54282">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Luapula Province</w:t>
            </w:r>
          </w:p>
        </w:tc>
        <w:tc>
          <w:tcPr>
            <w:tcW w:w="1465" w:type="dxa"/>
          </w:tcPr>
          <w:p w14:paraId="197C0535"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28.1</w:t>
            </w:r>
          </w:p>
        </w:tc>
        <w:tc>
          <w:tcPr>
            <w:tcW w:w="1467" w:type="dxa"/>
          </w:tcPr>
          <w:p w14:paraId="45E08E4E"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p>
        </w:tc>
        <w:tc>
          <w:tcPr>
            <w:tcW w:w="1467" w:type="dxa"/>
          </w:tcPr>
          <w:p w14:paraId="52C02E30"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p>
        </w:tc>
        <w:tc>
          <w:tcPr>
            <w:tcW w:w="1467" w:type="dxa"/>
          </w:tcPr>
          <w:p w14:paraId="31B8B7D6"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18"/>
                <w:szCs w:val="18"/>
              </w:rPr>
            </w:pPr>
            <w:r w:rsidRPr="004C75E0">
              <w:rPr>
                <w:rFonts w:ascii="Times New Roman" w:hAnsi="Times New Roman" w:cs="Times New Roman"/>
                <w:b/>
                <w:color w:val="000000"/>
                <w:sz w:val="18"/>
                <w:szCs w:val="18"/>
              </w:rPr>
              <w:t>Northern</w:t>
            </w:r>
          </w:p>
        </w:tc>
        <w:tc>
          <w:tcPr>
            <w:tcW w:w="1467" w:type="dxa"/>
          </w:tcPr>
          <w:p w14:paraId="167162C3"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-0.2</w:t>
            </w:r>
          </w:p>
        </w:tc>
      </w:tr>
      <w:tr w:rsidR="00E13D3B" w:rsidRPr="004C75E0" w14:paraId="14353873" w14:textId="77777777" w:rsidTr="000A2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3" w:type="dxa"/>
          </w:tcPr>
          <w:p w14:paraId="27BE0071" w14:textId="77777777" w:rsidR="00E13D3B" w:rsidRPr="004C75E0" w:rsidRDefault="00E13D3B" w:rsidP="00E54282">
            <w:pPr>
              <w:jc w:val="both"/>
              <w:rPr>
                <w:rFonts w:ascii="Times New Roman" w:hAnsi="Times New Roman" w:cs="Times New Roman"/>
                <w:color w:val="000000"/>
                <w:sz w:val="18"/>
                <w:szCs w:val="18"/>
              </w:rPr>
            </w:pPr>
            <w:r w:rsidRPr="004C75E0">
              <w:rPr>
                <w:rFonts w:ascii="Times New Roman" w:hAnsi="Times New Roman" w:cs="Times New Roman"/>
                <w:color w:val="000000"/>
                <w:sz w:val="18"/>
                <w:szCs w:val="18"/>
              </w:rPr>
              <w:t>North-Western</w:t>
            </w:r>
          </w:p>
        </w:tc>
        <w:tc>
          <w:tcPr>
            <w:tcW w:w="1465" w:type="dxa"/>
          </w:tcPr>
          <w:p w14:paraId="3F23AA2B"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4C75E0">
              <w:rPr>
                <w:rFonts w:ascii="Times New Roman" w:hAnsi="Times New Roman" w:cs="Times New Roman"/>
                <w:color w:val="000000"/>
                <w:sz w:val="18"/>
                <w:szCs w:val="18"/>
              </w:rPr>
              <w:t>26.4</w:t>
            </w:r>
          </w:p>
        </w:tc>
        <w:tc>
          <w:tcPr>
            <w:tcW w:w="1467" w:type="dxa"/>
          </w:tcPr>
          <w:p w14:paraId="56441986"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p>
        </w:tc>
        <w:tc>
          <w:tcPr>
            <w:tcW w:w="1467" w:type="dxa"/>
          </w:tcPr>
          <w:p w14:paraId="0D9404B9"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p>
        </w:tc>
        <w:tc>
          <w:tcPr>
            <w:tcW w:w="1467" w:type="dxa"/>
          </w:tcPr>
          <w:p w14:paraId="0285D4EC"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p>
        </w:tc>
        <w:tc>
          <w:tcPr>
            <w:tcW w:w="1467" w:type="dxa"/>
          </w:tcPr>
          <w:p w14:paraId="63461F8C"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p>
        </w:tc>
      </w:tr>
    </w:tbl>
    <w:p w14:paraId="58C33E30" w14:textId="77777777" w:rsidR="00E13D3B" w:rsidRPr="004C75E0" w:rsidRDefault="00E13D3B" w:rsidP="00A60BD4">
      <w:pPr>
        <w:spacing w:line="360" w:lineRule="auto"/>
        <w:jc w:val="both"/>
        <w:rPr>
          <w:rFonts w:ascii="Times New Roman" w:hAnsi="Times New Roman" w:cs="Times New Roman"/>
          <w:b/>
          <w:color w:val="000000"/>
          <w:sz w:val="24"/>
          <w:szCs w:val="24"/>
          <w:lang w:val="en-US"/>
        </w:rPr>
      </w:pPr>
      <w:r w:rsidRPr="004C75E0">
        <w:rPr>
          <w:rFonts w:ascii="Times New Roman" w:hAnsi="Times New Roman" w:cs="Times New Roman"/>
          <w:b/>
          <w:color w:val="000000"/>
          <w:sz w:val="24"/>
          <w:szCs w:val="24"/>
          <w:u w:val="single"/>
          <w:lang w:val="en-US"/>
        </w:rPr>
        <w:t>Source</w:t>
      </w:r>
      <w:r w:rsidRPr="004C75E0">
        <w:rPr>
          <w:rFonts w:ascii="Times New Roman" w:hAnsi="Times New Roman" w:cs="Times New Roman"/>
          <w:b/>
          <w:color w:val="000000"/>
          <w:sz w:val="24"/>
          <w:szCs w:val="24"/>
          <w:lang w:val="en-US"/>
        </w:rPr>
        <w:t xml:space="preserve">: </w:t>
      </w:r>
      <w:r w:rsidRPr="004C75E0">
        <w:rPr>
          <w:rFonts w:ascii="Times New Roman" w:hAnsi="Times New Roman" w:cs="Times New Roman"/>
          <w:color w:val="000000"/>
          <w:sz w:val="24"/>
          <w:szCs w:val="24"/>
          <w:lang w:val="en-US"/>
        </w:rPr>
        <w:t xml:space="preserve"> MoE, Education Statistical Bulletins.</w:t>
      </w:r>
    </w:p>
    <w:p w14:paraId="553589EF" w14:textId="6B9896EC" w:rsidR="004F3F58" w:rsidRDefault="00E13D3B" w:rsidP="004F3F58">
      <w:pPr>
        <w:spacing w:line="360" w:lineRule="auto"/>
        <w:jc w:val="both"/>
        <w:rPr>
          <w:rFonts w:ascii="Times New Roman" w:hAnsi="Times New Roman" w:cs="Times New Roman"/>
          <w:color w:val="000000"/>
          <w:sz w:val="24"/>
          <w:szCs w:val="24"/>
          <w:lang w:val="en-US"/>
        </w:rPr>
      </w:pPr>
      <w:r w:rsidRPr="004C75E0">
        <w:rPr>
          <w:rFonts w:ascii="Times New Roman" w:hAnsi="Times New Roman" w:cs="Times New Roman"/>
          <w:color w:val="000000"/>
          <w:sz w:val="24"/>
          <w:szCs w:val="24"/>
          <w:lang w:val="en-US"/>
        </w:rPr>
        <w:t>On aggregate, four provinces have already met and exceeded the 2015 MDG target of 100 NER as at 2014: Central, Luapula, North-Western and Western Province</w:t>
      </w:r>
      <w:r w:rsidR="00E43D26">
        <w:rPr>
          <w:rFonts w:ascii="Times New Roman" w:hAnsi="Times New Roman" w:cs="Times New Roman"/>
          <w:color w:val="000000"/>
          <w:sz w:val="24"/>
          <w:szCs w:val="24"/>
          <w:lang w:val="en-US"/>
        </w:rPr>
        <w:t xml:space="preserve"> </w:t>
      </w:r>
      <w:r w:rsidR="00590844">
        <w:rPr>
          <w:rFonts w:ascii="Times New Roman" w:hAnsi="Times New Roman" w:cs="Times New Roman"/>
          <w:color w:val="000000"/>
          <w:sz w:val="24"/>
          <w:szCs w:val="24"/>
          <w:lang w:val="en-US"/>
        </w:rPr>
        <w:t>(Figure</w:t>
      </w:r>
      <w:r w:rsidR="00E43D26">
        <w:rPr>
          <w:rFonts w:ascii="Times New Roman" w:hAnsi="Times New Roman" w:cs="Times New Roman"/>
          <w:color w:val="000000"/>
          <w:sz w:val="24"/>
          <w:szCs w:val="24"/>
          <w:lang w:val="en-US"/>
        </w:rPr>
        <w:t xml:space="preserve"> 3.2)</w:t>
      </w:r>
      <w:r w:rsidRPr="004C75E0">
        <w:rPr>
          <w:rFonts w:ascii="Times New Roman" w:hAnsi="Times New Roman" w:cs="Times New Roman"/>
          <w:color w:val="000000"/>
          <w:sz w:val="24"/>
          <w:szCs w:val="24"/>
          <w:lang w:val="en-US"/>
        </w:rPr>
        <w:t>. Northern and Southern Province are off track by less than 5 percentage point as at 2014 but remain on track to meet the 100 percent target by 2015. Three provinces are more than 10 percentage points away from hitting the target by 2015. Among these, Lusaka shows the largest deviation from the target, with a net primary enrolment ratio 29 percentage points off target in 2014. The other two provinces are Eastern province (12.6 percentage points off target) and Copper belt province (11.9 percentage points off target). These provinces need to undertake a diagnostic approach to address their binding constraints as they are unlikely to meet the 2015 MDG target.</w:t>
      </w:r>
      <w:r w:rsidR="00C35EB4">
        <w:rPr>
          <w:rFonts w:ascii="Times New Roman" w:hAnsi="Times New Roman" w:cs="Times New Roman"/>
          <w:color w:val="000000"/>
          <w:sz w:val="24"/>
          <w:szCs w:val="24"/>
          <w:lang w:val="en-US"/>
        </w:rPr>
        <w:t xml:space="preserve"> </w:t>
      </w:r>
    </w:p>
    <w:p w14:paraId="01F96F25" w14:textId="77777777" w:rsidR="004F3F58" w:rsidRPr="004C75E0" w:rsidRDefault="004F3F58" w:rsidP="00A60BD4">
      <w:pPr>
        <w:spacing w:line="36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w:t>
      </w:r>
      <w:r w:rsidRPr="004C75E0">
        <w:rPr>
          <w:rFonts w:ascii="Times New Roman" w:hAnsi="Times New Roman" w:cs="Times New Roman"/>
          <w:color w:val="000000"/>
          <w:sz w:val="24"/>
          <w:szCs w:val="24"/>
          <w:lang w:val="en-US"/>
        </w:rPr>
        <w:t xml:space="preserve">More fundamentally, the issue of inequality, which the </w:t>
      </w:r>
      <w:r>
        <w:rPr>
          <w:rFonts w:ascii="Times New Roman" w:hAnsi="Times New Roman" w:cs="Times New Roman"/>
          <w:color w:val="000000"/>
          <w:sz w:val="24"/>
          <w:szCs w:val="24"/>
          <w:lang w:val="en-US"/>
        </w:rPr>
        <w:t>EFA/</w:t>
      </w:r>
      <w:r w:rsidRPr="004C75E0">
        <w:rPr>
          <w:rFonts w:ascii="Times New Roman" w:hAnsi="Times New Roman" w:cs="Times New Roman"/>
          <w:color w:val="000000"/>
          <w:sz w:val="24"/>
          <w:szCs w:val="24"/>
          <w:lang w:val="en-US"/>
        </w:rPr>
        <w:t>MDGs framew</w:t>
      </w:r>
      <w:r>
        <w:rPr>
          <w:rFonts w:ascii="Times New Roman" w:hAnsi="Times New Roman" w:cs="Times New Roman"/>
          <w:color w:val="000000"/>
          <w:sz w:val="24"/>
          <w:szCs w:val="24"/>
          <w:lang w:val="en-US"/>
        </w:rPr>
        <w:t>orks failed</w:t>
      </w:r>
      <w:r w:rsidRPr="004C75E0">
        <w:rPr>
          <w:rFonts w:ascii="Times New Roman" w:hAnsi="Times New Roman" w:cs="Times New Roman"/>
          <w:color w:val="000000"/>
          <w:sz w:val="24"/>
          <w:szCs w:val="24"/>
          <w:lang w:val="en-US"/>
        </w:rPr>
        <w:t xml:space="preserve"> to address properly, </w:t>
      </w:r>
      <w:r w:rsidR="00E43D26">
        <w:rPr>
          <w:rFonts w:ascii="Times New Roman" w:hAnsi="Times New Roman" w:cs="Times New Roman"/>
          <w:color w:val="000000"/>
          <w:sz w:val="24"/>
          <w:szCs w:val="24"/>
          <w:lang w:val="en-US"/>
        </w:rPr>
        <w:t xml:space="preserve">is at the heart of ambivalent performance across the different provinces in Zambia. This </w:t>
      </w:r>
      <w:r w:rsidRPr="004C75E0">
        <w:rPr>
          <w:rFonts w:ascii="Times New Roman" w:hAnsi="Times New Roman" w:cs="Times New Roman"/>
          <w:color w:val="000000"/>
          <w:sz w:val="24"/>
          <w:szCs w:val="24"/>
          <w:lang w:val="en-US"/>
        </w:rPr>
        <w:t>should be c</w:t>
      </w:r>
      <w:r w:rsidR="00E43D26">
        <w:rPr>
          <w:rFonts w:ascii="Times New Roman" w:hAnsi="Times New Roman" w:cs="Times New Roman"/>
          <w:color w:val="000000"/>
          <w:sz w:val="24"/>
          <w:szCs w:val="24"/>
          <w:lang w:val="en-US"/>
        </w:rPr>
        <w:t xml:space="preserve">onsidered more seriously in </w:t>
      </w:r>
      <w:r w:rsidRPr="004C75E0">
        <w:rPr>
          <w:rFonts w:ascii="Times New Roman" w:hAnsi="Times New Roman" w:cs="Times New Roman"/>
          <w:color w:val="000000"/>
          <w:sz w:val="24"/>
          <w:szCs w:val="24"/>
          <w:lang w:val="en-US"/>
        </w:rPr>
        <w:t>futur</w:t>
      </w:r>
      <w:r>
        <w:rPr>
          <w:rFonts w:ascii="Times New Roman" w:hAnsi="Times New Roman" w:cs="Times New Roman"/>
          <w:color w:val="000000"/>
          <w:sz w:val="24"/>
          <w:szCs w:val="24"/>
          <w:lang w:val="en-US"/>
        </w:rPr>
        <w:t>e. Comparing</w:t>
      </w:r>
      <w:r w:rsidRPr="004C75E0">
        <w:rPr>
          <w:rFonts w:ascii="Times New Roman" w:hAnsi="Times New Roman" w:cs="Times New Roman"/>
          <w:color w:val="000000"/>
          <w:sz w:val="24"/>
          <w:szCs w:val="24"/>
          <w:lang w:val="en-US"/>
        </w:rPr>
        <w:t xml:space="preserve"> the a</w:t>
      </w:r>
      <w:r>
        <w:rPr>
          <w:rFonts w:ascii="Times New Roman" w:hAnsi="Times New Roman" w:cs="Times New Roman"/>
          <w:color w:val="000000"/>
          <w:sz w:val="24"/>
          <w:szCs w:val="24"/>
          <w:lang w:val="en-US"/>
        </w:rPr>
        <w:t>chievement trends across provinces</w:t>
      </w:r>
      <w:r w:rsidRPr="004C75E0">
        <w:rPr>
          <w:rFonts w:ascii="Times New Roman" w:hAnsi="Times New Roman" w:cs="Times New Roman"/>
          <w:color w:val="000000"/>
          <w:sz w:val="24"/>
          <w:szCs w:val="24"/>
          <w:lang w:val="en-US"/>
        </w:rPr>
        <w:t xml:space="preserve">, the wide </w:t>
      </w:r>
      <w:r w:rsidR="00546C14" w:rsidRPr="004C75E0">
        <w:rPr>
          <w:rFonts w:ascii="Times New Roman" w:hAnsi="Times New Roman" w:cs="Times New Roman"/>
          <w:color w:val="000000"/>
          <w:sz w:val="24"/>
          <w:szCs w:val="24"/>
          <w:lang w:val="en-US"/>
        </w:rPr>
        <w:t>disparity</w:t>
      </w:r>
      <w:r w:rsidR="00546C14">
        <w:rPr>
          <w:rFonts w:ascii="Times New Roman" w:hAnsi="Times New Roman" w:cs="Times New Roman"/>
          <w:color w:val="000000"/>
          <w:sz w:val="24"/>
          <w:szCs w:val="24"/>
          <w:lang w:val="en-US"/>
        </w:rPr>
        <w:t xml:space="preserve"> </w:t>
      </w:r>
      <w:r w:rsidR="00546C14" w:rsidRPr="004C75E0">
        <w:rPr>
          <w:rFonts w:ascii="Times New Roman" w:hAnsi="Times New Roman" w:cs="Times New Roman"/>
          <w:color w:val="000000"/>
          <w:sz w:val="24"/>
          <w:szCs w:val="24"/>
          <w:lang w:val="en-US"/>
        </w:rPr>
        <w:t>undermines</w:t>
      </w:r>
      <w:r w:rsidRPr="004C75E0">
        <w:rPr>
          <w:rFonts w:ascii="Times New Roman" w:hAnsi="Times New Roman" w:cs="Times New Roman"/>
          <w:color w:val="000000"/>
          <w:sz w:val="24"/>
          <w:szCs w:val="24"/>
          <w:lang w:val="en-US"/>
        </w:rPr>
        <w:t xml:space="preserve"> the positive image of the national achievement in net enrollment </w:t>
      </w:r>
      <w:r w:rsidRPr="000E2BCC">
        <w:rPr>
          <w:rFonts w:ascii="Times New Roman" w:hAnsi="Times New Roman" w:cs="Times New Roman"/>
          <w:color w:val="000000"/>
          <w:sz w:val="24"/>
          <w:szCs w:val="24"/>
          <w:lang w:val="en-US"/>
        </w:rPr>
        <w:t>and primary school completion</w:t>
      </w:r>
      <w:r w:rsidRPr="004C75E0">
        <w:rPr>
          <w:rFonts w:ascii="Times New Roman" w:hAnsi="Times New Roman" w:cs="Times New Roman"/>
          <w:color w:val="000000"/>
          <w:sz w:val="24"/>
          <w:szCs w:val="24"/>
          <w:lang w:val="en-US"/>
        </w:rPr>
        <w:t xml:space="preserve">. </w:t>
      </w:r>
      <w:r w:rsidR="00546C14">
        <w:rPr>
          <w:rFonts w:ascii="Times New Roman" w:hAnsi="Times New Roman" w:cs="Times New Roman"/>
          <w:color w:val="000000"/>
          <w:sz w:val="24"/>
          <w:szCs w:val="24"/>
          <w:lang w:val="en-US"/>
        </w:rPr>
        <w:t>But it also underscores the reality that f</w:t>
      </w:r>
      <w:r w:rsidRPr="004C75E0">
        <w:rPr>
          <w:rFonts w:ascii="Times New Roman" w:hAnsi="Times New Roman" w:cs="Times New Roman"/>
          <w:color w:val="000000"/>
          <w:sz w:val="24"/>
          <w:szCs w:val="24"/>
          <w:lang w:val="en-US"/>
        </w:rPr>
        <w:t xml:space="preserve">ocusing merely on national progress can easily hide slower progress and growing disparities among a specific </w:t>
      </w:r>
      <w:r>
        <w:rPr>
          <w:rFonts w:ascii="Times New Roman" w:hAnsi="Times New Roman" w:cs="Times New Roman"/>
          <w:color w:val="000000"/>
          <w:sz w:val="24"/>
          <w:szCs w:val="24"/>
          <w:lang w:val="en-US"/>
        </w:rPr>
        <w:t>region and or group of the population.</w:t>
      </w:r>
      <w:r w:rsidR="00546C14">
        <w:rPr>
          <w:rFonts w:ascii="Times New Roman" w:hAnsi="Times New Roman" w:cs="Times New Roman"/>
          <w:color w:val="000000"/>
          <w:sz w:val="24"/>
          <w:szCs w:val="24"/>
          <w:lang w:val="en-US"/>
        </w:rPr>
        <w:t xml:space="preserve"> </w:t>
      </w:r>
      <w:r w:rsidR="00EE4335">
        <w:rPr>
          <w:rFonts w:ascii="Times New Roman" w:hAnsi="Times New Roman" w:cs="Times New Roman"/>
          <w:color w:val="000000"/>
          <w:sz w:val="24"/>
          <w:szCs w:val="24"/>
          <w:lang w:val="en-US"/>
        </w:rPr>
        <w:t>The national picture, for instance, fails to account for access to primary education among some vulnerable child populations such as the disabled.</w:t>
      </w:r>
      <w:r>
        <w:rPr>
          <w:rFonts w:ascii="Times New Roman" w:hAnsi="Times New Roman" w:cs="Times New Roman"/>
          <w:color w:val="000000"/>
          <w:sz w:val="24"/>
          <w:szCs w:val="24"/>
          <w:lang w:val="en-US"/>
        </w:rPr>
        <w:t xml:space="preserve"> </w:t>
      </w:r>
      <w:r w:rsidRPr="00963AC7">
        <w:rPr>
          <w:rFonts w:ascii="Times New Roman" w:hAnsi="Times New Roman" w:cs="Times New Roman"/>
          <w:color w:val="000000"/>
          <w:sz w:val="24"/>
          <w:szCs w:val="24"/>
          <w:lang w:val="en-US"/>
        </w:rPr>
        <w:t>Civil society advocacy messages</w:t>
      </w:r>
      <w:r w:rsidR="007B52F6" w:rsidRPr="00963AC7">
        <w:rPr>
          <w:rFonts w:ascii="Times New Roman" w:hAnsi="Times New Roman" w:cs="Times New Roman"/>
          <w:color w:val="000000"/>
          <w:sz w:val="24"/>
          <w:szCs w:val="24"/>
          <w:lang w:val="en-US"/>
        </w:rPr>
        <w:t xml:space="preserve"> for the post 2015 education agenda</w:t>
      </w:r>
      <w:r w:rsidRPr="00963AC7">
        <w:rPr>
          <w:rFonts w:ascii="Times New Roman" w:hAnsi="Times New Roman" w:cs="Times New Roman"/>
          <w:color w:val="000000"/>
          <w:sz w:val="24"/>
          <w:szCs w:val="24"/>
          <w:lang w:val="en-US"/>
        </w:rPr>
        <w:t xml:space="preserve"> could </w:t>
      </w:r>
      <w:r w:rsidR="007B52F6" w:rsidRPr="00963AC7">
        <w:rPr>
          <w:rFonts w:ascii="Times New Roman" w:hAnsi="Times New Roman" w:cs="Times New Roman"/>
          <w:color w:val="000000"/>
          <w:sz w:val="24"/>
          <w:szCs w:val="24"/>
          <w:lang w:val="en-US"/>
        </w:rPr>
        <w:t>therefore center</w:t>
      </w:r>
      <w:r w:rsidRPr="00963AC7">
        <w:rPr>
          <w:rFonts w:ascii="Times New Roman" w:hAnsi="Times New Roman" w:cs="Times New Roman"/>
          <w:color w:val="000000"/>
          <w:sz w:val="24"/>
          <w:szCs w:val="24"/>
          <w:lang w:val="en-US"/>
        </w:rPr>
        <w:t xml:space="preserve"> </w:t>
      </w:r>
      <w:r w:rsidR="007B52F6" w:rsidRPr="00963AC7">
        <w:rPr>
          <w:rFonts w:ascii="Times New Roman" w:hAnsi="Times New Roman" w:cs="Times New Roman"/>
          <w:color w:val="000000"/>
          <w:sz w:val="24"/>
          <w:szCs w:val="24"/>
          <w:lang w:val="en-US"/>
        </w:rPr>
        <w:t>on</w:t>
      </w:r>
      <w:r w:rsidRPr="00963AC7">
        <w:rPr>
          <w:rFonts w:ascii="Times New Roman" w:hAnsi="Times New Roman" w:cs="Times New Roman"/>
          <w:color w:val="000000"/>
          <w:sz w:val="24"/>
          <w:szCs w:val="24"/>
          <w:lang w:val="en-US"/>
        </w:rPr>
        <w:t xml:space="preserve"> the need to address provincial inequalities</w:t>
      </w:r>
      <w:r w:rsidR="007B52F6" w:rsidRPr="00963AC7">
        <w:rPr>
          <w:rFonts w:ascii="Times New Roman" w:hAnsi="Times New Roman" w:cs="Times New Roman"/>
          <w:color w:val="000000"/>
          <w:sz w:val="24"/>
          <w:szCs w:val="24"/>
          <w:lang w:val="en-US"/>
        </w:rPr>
        <w:t xml:space="preserve"> in access and quality of education in Zambia</w:t>
      </w:r>
      <w:r w:rsidRPr="00963AC7">
        <w:rPr>
          <w:rFonts w:ascii="Times New Roman" w:hAnsi="Times New Roman" w:cs="Times New Roman"/>
          <w:color w:val="000000"/>
          <w:sz w:val="24"/>
          <w:szCs w:val="24"/>
          <w:lang w:val="en-US"/>
        </w:rPr>
        <w:t>. One</w:t>
      </w:r>
      <w:r w:rsidR="000E2BCC" w:rsidRPr="00963AC7">
        <w:rPr>
          <w:rFonts w:ascii="Times New Roman" w:hAnsi="Times New Roman" w:cs="Times New Roman"/>
          <w:color w:val="000000"/>
          <w:sz w:val="24"/>
          <w:szCs w:val="24"/>
          <w:lang w:val="en-US"/>
        </w:rPr>
        <w:t xml:space="preserve"> way</w:t>
      </w:r>
      <w:r w:rsidRPr="00963AC7">
        <w:rPr>
          <w:rFonts w:ascii="Times New Roman" w:hAnsi="Times New Roman" w:cs="Times New Roman"/>
          <w:color w:val="000000"/>
          <w:sz w:val="24"/>
          <w:szCs w:val="24"/>
          <w:lang w:val="en-US"/>
        </w:rPr>
        <w:t xml:space="preserve"> is to introduce appropriate </w:t>
      </w:r>
      <w:r w:rsidR="007B52F6" w:rsidRPr="00963AC7">
        <w:rPr>
          <w:rFonts w:ascii="Times New Roman" w:hAnsi="Times New Roman" w:cs="Times New Roman"/>
          <w:color w:val="000000"/>
          <w:sz w:val="24"/>
          <w:szCs w:val="24"/>
          <w:lang w:val="en-US"/>
        </w:rPr>
        <w:t xml:space="preserve">regional </w:t>
      </w:r>
      <w:r w:rsidRPr="00963AC7">
        <w:rPr>
          <w:rFonts w:ascii="Times New Roman" w:hAnsi="Times New Roman" w:cs="Times New Roman"/>
          <w:color w:val="000000"/>
          <w:sz w:val="24"/>
          <w:szCs w:val="24"/>
          <w:lang w:val="en-US"/>
        </w:rPr>
        <w:t>inequality indicators and to have them reported regularly. The other is to monitor the indicators for different groups of the population.</w:t>
      </w:r>
      <w:r w:rsidRPr="004C75E0">
        <w:rPr>
          <w:rFonts w:ascii="Times New Roman" w:hAnsi="Times New Roman" w:cs="Times New Roman"/>
          <w:color w:val="000000"/>
          <w:sz w:val="24"/>
          <w:szCs w:val="24"/>
          <w:lang w:val="en-US"/>
        </w:rPr>
        <w:t xml:space="preserve"> </w:t>
      </w:r>
    </w:p>
    <w:p w14:paraId="59297F55" w14:textId="77777777" w:rsidR="00E13D3B" w:rsidRPr="004C75E0" w:rsidRDefault="004F3F58" w:rsidP="00853E13">
      <w:pPr>
        <w:spacing w:after="200" w:line="360" w:lineRule="auto"/>
        <w:ind w:firstLine="720"/>
        <w:contextualSpacing/>
        <w:jc w:val="both"/>
        <w:rPr>
          <w:rFonts w:ascii="Times New Roman" w:hAnsi="Times New Roman" w:cs="Times New Roman"/>
          <w:b/>
          <w:sz w:val="24"/>
          <w:szCs w:val="24"/>
        </w:rPr>
      </w:pPr>
      <w:bookmarkStart w:id="28" w:name="_Toc432435866"/>
      <w:r>
        <w:rPr>
          <w:rFonts w:ascii="Times New Roman" w:hAnsi="Times New Roman" w:cs="Times New Roman"/>
          <w:b/>
          <w:sz w:val="24"/>
          <w:szCs w:val="24"/>
        </w:rPr>
        <w:t>2.0</w:t>
      </w:r>
      <w:r>
        <w:rPr>
          <w:rFonts w:ascii="Times New Roman" w:hAnsi="Times New Roman" w:cs="Times New Roman"/>
          <w:b/>
          <w:sz w:val="24"/>
          <w:szCs w:val="24"/>
        </w:rPr>
        <w:tab/>
      </w:r>
      <w:r w:rsidR="00E13D3B" w:rsidRPr="004C75E0">
        <w:rPr>
          <w:rFonts w:ascii="Times New Roman" w:hAnsi="Times New Roman" w:cs="Times New Roman"/>
          <w:b/>
          <w:sz w:val="24"/>
          <w:szCs w:val="24"/>
        </w:rPr>
        <w:t xml:space="preserve"> Primary Education Completion Rate</w:t>
      </w:r>
      <w:bookmarkEnd w:id="28"/>
      <w:r w:rsidR="007B52F6">
        <w:rPr>
          <w:rStyle w:val="FootnoteReference"/>
          <w:rFonts w:ascii="Times New Roman" w:hAnsi="Times New Roman" w:cs="Times New Roman"/>
          <w:b/>
          <w:sz w:val="24"/>
          <w:szCs w:val="24"/>
        </w:rPr>
        <w:footnoteReference w:id="11"/>
      </w:r>
    </w:p>
    <w:p w14:paraId="2806D61F" w14:textId="77777777" w:rsidR="000E2BCC" w:rsidRDefault="00E13D3B" w:rsidP="00A60BD4">
      <w:pPr>
        <w:spacing w:line="360" w:lineRule="auto"/>
        <w:jc w:val="both"/>
        <w:rPr>
          <w:rFonts w:ascii="Times New Roman" w:hAnsi="Times New Roman" w:cs="Times New Roman"/>
          <w:sz w:val="24"/>
          <w:szCs w:val="24"/>
          <w:lang w:val="en-US"/>
        </w:rPr>
      </w:pPr>
      <w:r w:rsidRPr="004C75E0">
        <w:rPr>
          <w:rFonts w:ascii="Times New Roman" w:hAnsi="Times New Roman" w:cs="Times New Roman"/>
          <w:color w:val="000000"/>
          <w:sz w:val="24"/>
          <w:szCs w:val="24"/>
          <w:lang w:val="en-US"/>
        </w:rPr>
        <w:t>The proportion of pupils reaching grade 7 has increased from 64 percent in 1990 to 86.2 percent in 2014, representing a 22.2 percentage point gain over the 24 year period</w:t>
      </w:r>
      <w:r w:rsidR="007B52F6">
        <w:rPr>
          <w:rFonts w:ascii="Times New Roman" w:hAnsi="Times New Roman" w:cs="Times New Roman"/>
          <w:color w:val="000000"/>
          <w:sz w:val="24"/>
          <w:szCs w:val="24"/>
          <w:lang w:val="en-US"/>
        </w:rPr>
        <w:t xml:space="preserve"> from 1990 to 2014 (See Figure 3.2</w:t>
      </w:r>
      <w:r w:rsidRPr="004C75E0">
        <w:rPr>
          <w:rFonts w:ascii="Times New Roman" w:hAnsi="Times New Roman" w:cs="Times New Roman"/>
          <w:color w:val="000000"/>
          <w:sz w:val="24"/>
          <w:szCs w:val="24"/>
          <w:lang w:val="en-US"/>
        </w:rPr>
        <w:t xml:space="preserve">). This is largely </w:t>
      </w:r>
      <w:r w:rsidRPr="004C75E0">
        <w:rPr>
          <w:rFonts w:ascii="Times New Roman" w:hAnsi="Times New Roman" w:cs="Times New Roman"/>
          <w:sz w:val="24"/>
          <w:szCs w:val="24"/>
          <w:lang w:val="en-US"/>
        </w:rPr>
        <w:t>due to the Free Primary Education (FPE) policy (2002); launching of an integrated multifaceted basic education investment programme; implementation of the re-entry policy for girls and vulnerable children; and the abolition of the Grade 7 examination fee (Beyani, 2013). The steep gains between 2000 and 2007 can be linked to the influence of BESSIP (1999-2002) and the MoESP(2003-2007). In trying to boost attendance among vulne</w:t>
      </w:r>
      <w:r w:rsidR="00EC4056">
        <w:rPr>
          <w:rFonts w:ascii="Times New Roman" w:hAnsi="Times New Roman" w:cs="Times New Roman"/>
          <w:sz w:val="24"/>
          <w:szCs w:val="24"/>
          <w:lang w:val="en-US"/>
        </w:rPr>
        <w:t>rable groups, the government</w:t>
      </w:r>
      <w:r w:rsidRPr="004C75E0">
        <w:rPr>
          <w:rFonts w:ascii="Times New Roman" w:hAnsi="Times New Roman" w:cs="Times New Roman"/>
          <w:sz w:val="24"/>
          <w:szCs w:val="24"/>
          <w:lang w:val="en-US"/>
        </w:rPr>
        <w:t xml:space="preserve"> also implemented a school feeding programme in collaboration with the World Food Programme (WFP). More pupils that complete the primary level have transitioned to secondary education over the past decade. Zambia has specifically encouraged more girls to progress to grade 8 on account of available school places. This has been in line with the 2008 United Nations Girls’ Education Initiative (UNGEI).</w:t>
      </w:r>
    </w:p>
    <w:p w14:paraId="29511F81" w14:textId="77777777" w:rsidR="00ED17C0" w:rsidRPr="004C75E0" w:rsidRDefault="00ED17C0" w:rsidP="00A60BD4">
      <w:pPr>
        <w:spacing w:line="360" w:lineRule="auto"/>
        <w:jc w:val="both"/>
        <w:rPr>
          <w:rFonts w:ascii="Times New Roman" w:hAnsi="Times New Roman" w:cs="Times New Roman"/>
          <w:sz w:val="24"/>
          <w:szCs w:val="24"/>
          <w:lang w:val="en-US"/>
        </w:rPr>
      </w:pPr>
    </w:p>
    <w:p w14:paraId="28327334" w14:textId="77777777" w:rsidR="00E13D3B" w:rsidRPr="00893C5F" w:rsidRDefault="007B52F6" w:rsidP="00893C5F">
      <w:pPr>
        <w:pStyle w:val="NoSpacing"/>
        <w:rPr>
          <w:rFonts w:ascii="Times New Roman" w:hAnsi="Times New Roman" w:cs="Times New Roman"/>
          <w:b/>
        </w:rPr>
      </w:pPr>
      <w:r>
        <w:rPr>
          <w:rFonts w:ascii="Times New Roman" w:hAnsi="Times New Roman" w:cs="Times New Roman"/>
          <w:b/>
        </w:rPr>
        <w:t>Figure 3.2</w:t>
      </w:r>
      <w:r w:rsidR="00E13D3B" w:rsidRPr="00893C5F">
        <w:rPr>
          <w:rFonts w:ascii="Times New Roman" w:hAnsi="Times New Roman" w:cs="Times New Roman"/>
          <w:b/>
        </w:rPr>
        <w:t>: Progress in Grade 7 Completion, 1990-2014</w:t>
      </w:r>
    </w:p>
    <w:p w14:paraId="327A557A" w14:textId="77777777" w:rsidR="00E13D3B" w:rsidRPr="004C75E0" w:rsidRDefault="00E13D3B" w:rsidP="00A60BD4">
      <w:pPr>
        <w:spacing w:line="360" w:lineRule="auto"/>
        <w:jc w:val="both"/>
        <w:rPr>
          <w:rFonts w:ascii="Times New Roman" w:hAnsi="Times New Roman" w:cs="Times New Roman"/>
          <w:noProof/>
          <w:sz w:val="24"/>
          <w:szCs w:val="24"/>
          <w:lang w:val="en-US" w:eastAsia="en-GB"/>
        </w:rPr>
      </w:pPr>
      <w:r w:rsidRPr="004C75E0">
        <w:rPr>
          <w:rFonts w:ascii="Times New Roman" w:hAnsi="Times New Roman" w:cs="Times New Roman"/>
          <w:noProof/>
          <w:lang w:val="en-US"/>
        </w:rPr>
        <w:drawing>
          <wp:inline distT="0" distB="0" distL="0" distR="0" wp14:anchorId="3B46AB5A" wp14:editId="21286307">
            <wp:extent cx="5734050" cy="2143125"/>
            <wp:effectExtent l="0" t="0" r="0" b="952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4C75E0">
        <w:rPr>
          <w:rFonts w:ascii="Times New Roman" w:hAnsi="Times New Roman" w:cs="Times New Roman"/>
          <w:b/>
          <w:noProof/>
          <w:sz w:val="24"/>
          <w:szCs w:val="24"/>
          <w:u w:val="single"/>
          <w:lang w:val="en-US" w:eastAsia="en-GB"/>
        </w:rPr>
        <w:t>Source</w:t>
      </w:r>
      <w:r w:rsidRPr="004C75E0">
        <w:rPr>
          <w:rFonts w:ascii="Times New Roman" w:hAnsi="Times New Roman" w:cs="Times New Roman"/>
          <w:noProof/>
          <w:sz w:val="24"/>
          <w:szCs w:val="24"/>
          <w:lang w:val="en-US" w:eastAsia="en-GB"/>
        </w:rPr>
        <w:t>: MDG Porogress Report (2013); MOE (2014).</w:t>
      </w:r>
    </w:p>
    <w:p w14:paraId="1A2DFD05" w14:textId="77777777" w:rsidR="000E2BCC" w:rsidRDefault="00E13D3B" w:rsidP="00415609">
      <w:pPr>
        <w:spacing w:line="360" w:lineRule="auto"/>
        <w:jc w:val="both"/>
        <w:rPr>
          <w:rFonts w:ascii="Times New Roman" w:hAnsi="Times New Roman" w:cs="Times New Roman"/>
          <w:color w:val="000000"/>
          <w:sz w:val="24"/>
          <w:szCs w:val="24"/>
          <w:lang w:val="en-US"/>
        </w:rPr>
      </w:pPr>
      <w:r w:rsidRPr="004C75E0">
        <w:rPr>
          <w:rFonts w:ascii="Times New Roman" w:hAnsi="Times New Roman" w:cs="Times New Roman"/>
          <w:color w:val="000000"/>
          <w:sz w:val="24"/>
          <w:szCs w:val="24"/>
          <w:lang w:val="en-US"/>
        </w:rPr>
        <w:t xml:space="preserve">The rising trend in overall primary completion rates notwithstanding, the efficiency of the education system is still quite low. The primary school system still has significant numbers of over-aged pupils because of late entrants and grade repetition. The Ministry of Education notes the challenge faced in </w:t>
      </w:r>
      <w:r w:rsidRPr="004C75E0">
        <w:rPr>
          <w:rFonts w:ascii="Times New Roman" w:hAnsi="Times New Roman" w:cs="Times New Roman"/>
          <w:iCs/>
          <w:color w:val="000000"/>
          <w:sz w:val="24"/>
          <w:szCs w:val="24"/>
          <w:lang w:val="en-US"/>
        </w:rPr>
        <w:t>keeping children in school</w:t>
      </w:r>
      <w:r w:rsidRPr="004C75E0">
        <w:rPr>
          <w:rFonts w:ascii="Times New Roman" w:hAnsi="Times New Roman" w:cs="Times New Roman"/>
          <w:color w:val="000000"/>
          <w:sz w:val="24"/>
          <w:szCs w:val="24"/>
          <w:lang w:val="en-US"/>
        </w:rPr>
        <w:t xml:space="preserve">. For instance, </w:t>
      </w:r>
      <w:r w:rsidRPr="004C75E0">
        <w:rPr>
          <w:rFonts w:ascii="Times New Roman" w:hAnsi="Times New Roman" w:cs="Times New Roman"/>
          <w:iCs/>
          <w:color w:val="000000"/>
          <w:sz w:val="24"/>
          <w:szCs w:val="24"/>
          <w:lang w:val="en-US"/>
        </w:rPr>
        <w:t>the survival rate to grade 5 has fluctuated between 70 and 95 percent over the last eight years ( 2007-2014) but with an overall rising trend even though it has recently declined from a high of 95 percent recorded in 2012 to 70.7 percent in 2014</w:t>
      </w:r>
      <w:r w:rsidRPr="004C75E0">
        <w:rPr>
          <w:rFonts w:ascii="Times New Roman" w:hAnsi="Times New Roman" w:cs="Times New Roman"/>
          <w:i/>
          <w:iCs/>
          <w:color w:val="000000"/>
          <w:sz w:val="24"/>
          <w:szCs w:val="24"/>
          <w:lang w:val="en-US"/>
        </w:rPr>
        <w:t xml:space="preserve"> </w:t>
      </w:r>
      <w:r w:rsidR="007B52F6">
        <w:rPr>
          <w:rFonts w:ascii="Times New Roman" w:hAnsi="Times New Roman" w:cs="Times New Roman"/>
          <w:color w:val="000000"/>
          <w:sz w:val="24"/>
          <w:szCs w:val="24"/>
          <w:lang w:val="en-US"/>
        </w:rPr>
        <w:t>(Figure 3-3</w:t>
      </w:r>
      <w:r w:rsidRPr="004C75E0">
        <w:rPr>
          <w:rFonts w:ascii="Times New Roman" w:hAnsi="Times New Roman" w:cs="Times New Roman"/>
          <w:color w:val="000000"/>
          <w:sz w:val="24"/>
          <w:szCs w:val="24"/>
          <w:lang w:val="en-US"/>
        </w:rPr>
        <w:t xml:space="preserve">). </w:t>
      </w:r>
    </w:p>
    <w:p w14:paraId="428B00B2" w14:textId="7B595FD0" w:rsidR="00095153" w:rsidRDefault="00E13D3B" w:rsidP="00415609">
      <w:pPr>
        <w:spacing w:line="360" w:lineRule="auto"/>
        <w:jc w:val="both"/>
        <w:rPr>
          <w:rFonts w:ascii="Times New Roman" w:hAnsi="Times New Roman" w:cs="Times New Roman"/>
          <w:color w:val="000000"/>
          <w:sz w:val="24"/>
          <w:szCs w:val="24"/>
          <w:lang w:val="en-US"/>
        </w:rPr>
      </w:pPr>
      <w:r w:rsidRPr="004C75E0">
        <w:rPr>
          <w:rFonts w:ascii="Times New Roman" w:hAnsi="Times New Roman" w:cs="Times New Roman"/>
          <w:color w:val="000000"/>
          <w:sz w:val="24"/>
          <w:szCs w:val="24"/>
          <w:lang w:val="en-US"/>
        </w:rPr>
        <w:t>Nonetheless, this rate is still amongst the lowest in the region.  Examining transition rates by grade shows the retention and, conversely, the magnitude of loss through dropout or repetit</w:t>
      </w:r>
      <w:r w:rsidR="007B52F6">
        <w:rPr>
          <w:rFonts w:ascii="Times New Roman" w:hAnsi="Times New Roman" w:cs="Times New Roman"/>
          <w:color w:val="000000"/>
          <w:sz w:val="24"/>
          <w:szCs w:val="24"/>
          <w:lang w:val="en-US"/>
        </w:rPr>
        <w:t>ion at each level (Figure 3-4</w:t>
      </w:r>
      <w:r w:rsidR="00BF48B5" w:rsidRPr="004C75E0">
        <w:rPr>
          <w:rFonts w:ascii="Times New Roman" w:hAnsi="Times New Roman" w:cs="Times New Roman"/>
          <w:color w:val="000000"/>
          <w:sz w:val="24"/>
          <w:szCs w:val="24"/>
          <w:lang w:val="en-US"/>
        </w:rPr>
        <w:t>).</w:t>
      </w:r>
      <w:r w:rsidR="00EC4056">
        <w:rPr>
          <w:rFonts w:ascii="Times New Roman" w:hAnsi="Times New Roman" w:cs="Times New Roman"/>
          <w:color w:val="000000"/>
          <w:sz w:val="24"/>
          <w:szCs w:val="24"/>
          <w:lang w:val="en-US"/>
        </w:rPr>
        <w:t xml:space="preserve"> Therefore, retention remains a problem, especially as students’ progress into higher grades.</w:t>
      </w:r>
      <w:r w:rsidR="0090270F">
        <w:rPr>
          <w:rFonts w:ascii="Times New Roman" w:hAnsi="Times New Roman" w:cs="Times New Roman"/>
          <w:color w:val="000000"/>
          <w:sz w:val="24"/>
          <w:szCs w:val="24"/>
          <w:lang w:val="en-US"/>
        </w:rPr>
        <w:t xml:space="preserve"> </w:t>
      </w:r>
      <w:r w:rsidR="00415609">
        <w:rPr>
          <w:rFonts w:ascii="Times New Roman" w:hAnsi="Times New Roman" w:cs="Times New Roman"/>
          <w:color w:val="000000"/>
          <w:sz w:val="24"/>
          <w:szCs w:val="24"/>
          <w:lang w:val="en-US"/>
        </w:rPr>
        <w:t>The 2014 School Census, for instance, indicates that while NER in primary was 94.3 percent, that of secondary school was only 27.9 percent.</w:t>
      </w:r>
    </w:p>
    <w:p w14:paraId="0D15E86F" w14:textId="77777777" w:rsidR="00426294" w:rsidRDefault="00426294" w:rsidP="00415609">
      <w:pPr>
        <w:spacing w:line="360" w:lineRule="auto"/>
        <w:jc w:val="both"/>
        <w:rPr>
          <w:rFonts w:ascii="Times New Roman" w:hAnsi="Times New Roman" w:cs="Times New Roman"/>
          <w:color w:val="000000"/>
          <w:sz w:val="24"/>
          <w:szCs w:val="24"/>
          <w:lang w:val="en-US"/>
        </w:rPr>
      </w:pPr>
    </w:p>
    <w:p w14:paraId="1C829F00" w14:textId="77777777" w:rsidR="00426294" w:rsidRDefault="00426294" w:rsidP="00415609">
      <w:pPr>
        <w:spacing w:line="360" w:lineRule="auto"/>
        <w:jc w:val="both"/>
        <w:rPr>
          <w:rFonts w:ascii="Times New Roman" w:hAnsi="Times New Roman" w:cs="Times New Roman"/>
          <w:color w:val="000000"/>
          <w:sz w:val="24"/>
          <w:szCs w:val="24"/>
          <w:lang w:val="en-US"/>
        </w:rPr>
      </w:pPr>
    </w:p>
    <w:p w14:paraId="5A1A9113" w14:textId="77777777" w:rsidR="00426294" w:rsidRDefault="00426294" w:rsidP="00415609">
      <w:pPr>
        <w:spacing w:line="360" w:lineRule="auto"/>
        <w:jc w:val="both"/>
        <w:rPr>
          <w:rFonts w:ascii="Times New Roman" w:hAnsi="Times New Roman" w:cs="Times New Roman"/>
          <w:color w:val="000000"/>
          <w:sz w:val="24"/>
          <w:szCs w:val="24"/>
          <w:lang w:val="en-US"/>
        </w:rPr>
      </w:pPr>
    </w:p>
    <w:p w14:paraId="483C6A15" w14:textId="77777777" w:rsidR="00426294" w:rsidRPr="00415609" w:rsidRDefault="00426294" w:rsidP="00415609">
      <w:pPr>
        <w:spacing w:line="360" w:lineRule="auto"/>
        <w:jc w:val="both"/>
        <w:rPr>
          <w:rFonts w:ascii="Times New Roman" w:hAnsi="Times New Roman" w:cs="Times New Roman"/>
          <w:color w:val="000000"/>
          <w:sz w:val="24"/>
          <w:szCs w:val="24"/>
          <w:lang w:val="en-US"/>
        </w:rPr>
      </w:pPr>
    </w:p>
    <w:p w14:paraId="69A678DD" w14:textId="77777777" w:rsidR="00E13D3B" w:rsidRPr="00893C5F" w:rsidRDefault="007B52F6" w:rsidP="00893C5F">
      <w:pPr>
        <w:pStyle w:val="NoSpacing"/>
        <w:rPr>
          <w:rFonts w:ascii="Times New Roman" w:hAnsi="Times New Roman" w:cs="Times New Roman"/>
          <w:b/>
        </w:rPr>
      </w:pPr>
      <w:r>
        <w:rPr>
          <w:rFonts w:ascii="Times New Roman" w:hAnsi="Times New Roman" w:cs="Times New Roman"/>
          <w:b/>
        </w:rPr>
        <w:t>Figure 3.3</w:t>
      </w:r>
      <w:r w:rsidR="00E13D3B" w:rsidRPr="00893C5F">
        <w:rPr>
          <w:rFonts w:ascii="Times New Roman" w:hAnsi="Times New Roman" w:cs="Times New Roman"/>
          <w:b/>
        </w:rPr>
        <w:t>: Survival Rate (%) to Grade 5 by Sex from 2007 to 2014</w:t>
      </w:r>
    </w:p>
    <w:p w14:paraId="3277AC13" w14:textId="77777777" w:rsidR="00E13D3B" w:rsidRPr="004C75E0" w:rsidRDefault="00E13D3B" w:rsidP="00A60BD4">
      <w:pPr>
        <w:spacing w:line="360" w:lineRule="auto"/>
        <w:jc w:val="both"/>
        <w:rPr>
          <w:rFonts w:ascii="Times New Roman" w:hAnsi="Times New Roman" w:cs="Times New Roman"/>
          <w:b/>
          <w:color w:val="000000"/>
          <w:sz w:val="24"/>
          <w:szCs w:val="24"/>
          <w:lang w:val="en-US"/>
        </w:rPr>
      </w:pPr>
      <w:r w:rsidRPr="004C75E0">
        <w:rPr>
          <w:rFonts w:ascii="Times New Roman" w:hAnsi="Times New Roman" w:cs="Times New Roman"/>
          <w:noProof/>
          <w:lang w:val="en-US"/>
        </w:rPr>
        <w:drawing>
          <wp:inline distT="0" distB="0" distL="0" distR="0" wp14:anchorId="256BDA63" wp14:editId="35A5CF73">
            <wp:extent cx="5562600" cy="2209800"/>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4C75E0">
        <w:rPr>
          <w:rFonts w:ascii="Times New Roman" w:hAnsi="Times New Roman" w:cs="Times New Roman"/>
          <w:b/>
          <w:color w:val="000000"/>
          <w:sz w:val="24"/>
          <w:szCs w:val="24"/>
          <w:u w:val="single"/>
          <w:lang w:val="en-US"/>
        </w:rPr>
        <w:t>Source</w:t>
      </w:r>
      <w:r w:rsidRPr="004C75E0">
        <w:rPr>
          <w:rFonts w:ascii="Times New Roman" w:hAnsi="Times New Roman" w:cs="Times New Roman"/>
          <w:b/>
          <w:color w:val="000000"/>
          <w:sz w:val="24"/>
          <w:szCs w:val="24"/>
          <w:lang w:val="en-US"/>
        </w:rPr>
        <w:t xml:space="preserve">: </w:t>
      </w:r>
      <w:r w:rsidRPr="004C75E0">
        <w:rPr>
          <w:rFonts w:ascii="Times New Roman" w:hAnsi="Times New Roman" w:cs="Times New Roman"/>
          <w:color w:val="000000"/>
          <w:sz w:val="24"/>
          <w:szCs w:val="24"/>
          <w:lang w:val="en-US"/>
        </w:rPr>
        <w:t>MoE(2014:59)</w:t>
      </w:r>
    </w:p>
    <w:p w14:paraId="34111D0F" w14:textId="77777777" w:rsidR="00E13D3B" w:rsidRPr="00893C5F" w:rsidRDefault="007B52F6" w:rsidP="00893C5F">
      <w:pPr>
        <w:pStyle w:val="NoSpacing"/>
        <w:rPr>
          <w:rFonts w:ascii="Times New Roman" w:hAnsi="Times New Roman" w:cs="Times New Roman"/>
          <w:b/>
        </w:rPr>
      </w:pPr>
      <w:r>
        <w:rPr>
          <w:rFonts w:ascii="Times New Roman" w:hAnsi="Times New Roman" w:cs="Times New Roman"/>
          <w:b/>
        </w:rPr>
        <w:t>Figure 3.4</w:t>
      </w:r>
      <w:r w:rsidR="00E13D3B" w:rsidRPr="00893C5F">
        <w:rPr>
          <w:rFonts w:ascii="Times New Roman" w:hAnsi="Times New Roman" w:cs="Times New Roman"/>
          <w:b/>
        </w:rPr>
        <w:t>: Transition Rates in Grades 1- 7, 2012 – 2013 (Percent)</w:t>
      </w:r>
    </w:p>
    <w:p w14:paraId="0F949F38" w14:textId="77777777" w:rsidR="00E13D3B" w:rsidRPr="00893C5F" w:rsidRDefault="00E13D3B" w:rsidP="00A60BD4">
      <w:pPr>
        <w:spacing w:line="360" w:lineRule="auto"/>
        <w:jc w:val="both"/>
        <w:rPr>
          <w:rFonts w:ascii="Times New Roman" w:hAnsi="Times New Roman" w:cs="Times New Roman"/>
          <w:b/>
          <w:color w:val="000000"/>
          <w:sz w:val="24"/>
          <w:szCs w:val="24"/>
          <w:lang w:val="en-US"/>
        </w:rPr>
      </w:pPr>
      <w:r w:rsidRPr="004C75E0">
        <w:rPr>
          <w:rFonts w:ascii="Times New Roman" w:hAnsi="Times New Roman" w:cs="Times New Roman"/>
          <w:noProof/>
          <w:sz w:val="24"/>
          <w:szCs w:val="24"/>
          <w:lang w:val="en-US"/>
        </w:rPr>
        <w:drawing>
          <wp:inline distT="0" distB="0" distL="0" distR="0" wp14:anchorId="35142D32" wp14:editId="62169667">
            <wp:extent cx="5486400" cy="2600325"/>
            <wp:effectExtent l="0" t="0" r="0" b="952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4C75E0">
        <w:rPr>
          <w:rFonts w:ascii="Times New Roman" w:hAnsi="Times New Roman" w:cs="Times New Roman"/>
          <w:b/>
          <w:color w:val="000000"/>
          <w:sz w:val="24"/>
          <w:szCs w:val="24"/>
          <w:u w:val="single"/>
          <w:lang w:val="en-US"/>
        </w:rPr>
        <w:t>Source</w:t>
      </w:r>
      <w:r w:rsidRPr="004C75E0">
        <w:rPr>
          <w:rFonts w:ascii="Times New Roman" w:hAnsi="Times New Roman" w:cs="Times New Roman"/>
          <w:color w:val="000000"/>
          <w:sz w:val="24"/>
          <w:szCs w:val="24"/>
          <w:lang w:val="en-US"/>
        </w:rPr>
        <w:t>: Ministry of Education (2014:33)</w:t>
      </w:r>
    </w:p>
    <w:p w14:paraId="53ACE7DB" w14:textId="66787771" w:rsidR="00893C5F" w:rsidRDefault="00E13D3B" w:rsidP="00A60BD4">
      <w:pPr>
        <w:spacing w:line="360" w:lineRule="auto"/>
        <w:jc w:val="both"/>
        <w:rPr>
          <w:rFonts w:ascii="Times New Roman" w:hAnsi="Times New Roman" w:cs="Times New Roman"/>
          <w:color w:val="000000"/>
          <w:sz w:val="24"/>
          <w:szCs w:val="24"/>
          <w:lang w:val="en-US"/>
        </w:rPr>
      </w:pPr>
      <w:r w:rsidRPr="004C75E0">
        <w:rPr>
          <w:rFonts w:ascii="Times New Roman" w:hAnsi="Times New Roman" w:cs="Times New Roman"/>
          <w:color w:val="000000"/>
          <w:sz w:val="24"/>
          <w:szCs w:val="24"/>
          <w:lang w:val="en-US"/>
        </w:rPr>
        <w:t>Evident from the graph is that the greatest proportion of children is not retained in the transition from grade 6 to grade 7.  Some 20 per cent of children who attended grade 6 are not in grade 7 in the following year, because of dropout or repetition. This means that a significant proportion of the pupils who reached grade 6 of primary in 2012 did not graduate from that grade in 2013. The rea</w:t>
      </w:r>
      <w:r w:rsidRPr="004C75E0">
        <w:rPr>
          <w:rFonts w:ascii="Times New Roman" w:hAnsi="Times New Roman" w:cs="Times New Roman"/>
          <w:color w:val="000000"/>
          <w:sz w:val="24"/>
          <w:szCs w:val="24"/>
          <w:lang w:val="en-US"/>
        </w:rPr>
        <w:softHyphen/>
        <w:t>sons may include a poor quality of education, the low capacity of schools to retain children, as well as pover</w:t>
      </w:r>
      <w:r w:rsidRPr="004C75E0">
        <w:rPr>
          <w:rFonts w:ascii="Times New Roman" w:hAnsi="Times New Roman" w:cs="Times New Roman"/>
          <w:color w:val="000000"/>
          <w:sz w:val="24"/>
          <w:szCs w:val="24"/>
          <w:lang w:val="en-US"/>
        </w:rPr>
        <w:softHyphen/>
        <w:t>ty and other factors external to the education sector. Sabates et al (2010) classifies them into three groups: individual factors such as poor health or malnutrition of pupils; household situation (including child work and poverty); and school factors such as school location and poor education provision</w:t>
      </w:r>
      <w:r w:rsidR="00095153">
        <w:rPr>
          <w:rFonts w:ascii="Times New Roman" w:hAnsi="Times New Roman" w:cs="Times New Roman"/>
          <w:color w:val="000000"/>
          <w:sz w:val="24"/>
          <w:szCs w:val="24"/>
          <w:lang w:val="en-US"/>
        </w:rPr>
        <w:t>. Addressing the dropout rate within</w:t>
      </w:r>
      <w:r w:rsidR="00627C14">
        <w:rPr>
          <w:rFonts w:ascii="Times New Roman" w:hAnsi="Times New Roman" w:cs="Times New Roman"/>
          <w:color w:val="000000"/>
          <w:sz w:val="24"/>
          <w:szCs w:val="24"/>
          <w:lang w:val="en-US"/>
        </w:rPr>
        <w:t xml:space="preserve"> and </w:t>
      </w:r>
      <w:r w:rsidR="00ED17C0">
        <w:rPr>
          <w:rFonts w:ascii="Times New Roman" w:hAnsi="Times New Roman" w:cs="Times New Roman"/>
          <w:color w:val="000000"/>
          <w:sz w:val="24"/>
          <w:szCs w:val="24"/>
          <w:lang w:val="en-US"/>
        </w:rPr>
        <w:t>between the</w:t>
      </w:r>
      <w:r w:rsidR="00095153">
        <w:rPr>
          <w:rFonts w:ascii="Times New Roman" w:hAnsi="Times New Roman" w:cs="Times New Roman"/>
          <w:color w:val="000000"/>
          <w:sz w:val="24"/>
          <w:szCs w:val="24"/>
          <w:lang w:val="en-US"/>
        </w:rPr>
        <w:t xml:space="preserve"> primary </w:t>
      </w:r>
      <w:r w:rsidR="00627C14">
        <w:rPr>
          <w:rFonts w:ascii="Times New Roman" w:hAnsi="Times New Roman" w:cs="Times New Roman"/>
          <w:color w:val="000000"/>
          <w:sz w:val="24"/>
          <w:szCs w:val="24"/>
          <w:lang w:val="en-US"/>
        </w:rPr>
        <w:t>and secondary schools</w:t>
      </w:r>
      <w:r w:rsidR="00095153">
        <w:rPr>
          <w:rFonts w:ascii="Times New Roman" w:hAnsi="Times New Roman" w:cs="Times New Roman"/>
          <w:color w:val="000000"/>
          <w:sz w:val="24"/>
          <w:szCs w:val="24"/>
          <w:lang w:val="en-US"/>
        </w:rPr>
        <w:t xml:space="preserve">, especially for </w:t>
      </w:r>
      <w:r w:rsidR="00627C14">
        <w:rPr>
          <w:rFonts w:ascii="Times New Roman" w:hAnsi="Times New Roman" w:cs="Times New Roman"/>
          <w:color w:val="000000"/>
          <w:sz w:val="24"/>
          <w:szCs w:val="24"/>
          <w:lang w:val="en-US"/>
        </w:rPr>
        <w:t xml:space="preserve">marginalized </w:t>
      </w:r>
      <w:r w:rsidR="00095153">
        <w:rPr>
          <w:rFonts w:ascii="Times New Roman" w:hAnsi="Times New Roman" w:cs="Times New Roman"/>
          <w:color w:val="000000"/>
          <w:sz w:val="24"/>
          <w:szCs w:val="24"/>
          <w:lang w:val="en-US"/>
        </w:rPr>
        <w:t xml:space="preserve">children </w:t>
      </w:r>
      <w:r w:rsidR="00627C14">
        <w:rPr>
          <w:rFonts w:ascii="Times New Roman" w:hAnsi="Times New Roman" w:cs="Times New Roman"/>
          <w:color w:val="000000"/>
          <w:sz w:val="24"/>
          <w:szCs w:val="24"/>
          <w:lang w:val="en-US"/>
        </w:rPr>
        <w:t>from rural</w:t>
      </w:r>
      <w:r w:rsidR="00095153">
        <w:rPr>
          <w:rFonts w:ascii="Times New Roman" w:hAnsi="Times New Roman" w:cs="Times New Roman"/>
          <w:color w:val="000000"/>
          <w:sz w:val="24"/>
          <w:szCs w:val="24"/>
          <w:lang w:val="en-US"/>
        </w:rPr>
        <w:t xml:space="preserve"> and </w:t>
      </w:r>
      <w:r w:rsidR="00ED17C0">
        <w:rPr>
          <w:rFonts w:ascii="Times New Roman" w:hAnsi="Times New Roman" w:cs="Times New Roman"/>
          <w:color w:val="000000"/>
          <w:sz w:val="24"/>
          <w:szCs w:val="24"/>
          <w:lang w:val="en-US"/>
        </w:rPr>
        <w:t>poor households</w:t>
      </w:r>
      <w:r w:rsidR="00627C14">
        <w:rPr>
          <w:rFonts w:ascii="Times New Roman" w:hAnsi="Times New Roman" w:cs="Times New Roman"/>
          <w:color w:val="000000"/>
          <w:sz w:val="24"/>
          <w:szCs w:val="24"/>
          <w:lang w:val="en-US"/>
        </w:rPr>
        <w:t xml:space="preserve"> must become a major advocacy point for non-state actors. Every child’</w:t>
      </w:r>
      <w:r w:rsidR="00ED17C0">
        <w:rPr>
          <w:rFonts w:ascii="Times New Roman" w:hAnsi="Times New Roman" w:cs="Times New Roman"/>
          <w:color w:val="000000"/>
          <w:sz w:val="24"/>
          <w:szCs w:val="24"/>
          <w:lang w:val="en-US"/>
        </w:rPr>
        <w:t>s right to quality education must be guaranteed in irr</w:t>
      </w:r>
      <w:r w:rsidR="00277061">
        <w:rPr>
          <w:rFonts w:ascii="Times New Roman" w:hAnsi="Times New Roman" w:cs="Times New Roman"/>
          <w:color w:val="000000"/>
          <w:sz w:val="24"/>
          <w:szCs w:val="24"/>
          <w:lang w:val="en-US"/>
        </w:rPr>
        <w:t xml:space="preserve">espective of their location, </w:t>
      </w:r>
      <w:r w:rsidR="00ED17C0">
        <w:rPr>
          <w:rFonts w:ascii="Times New Roman" w:hAnsi="Times New Roman" w:cs="Times New Roman"/>
          <w:color w:val="000000"/>
          <w:sz w:val="24"/>
          <w:szCs w:val="24"/>
          <w:lang w:val="en-US"/>
        </w:rPr>
        <w:t>family background</w:t>
      </w:r>
      <w:r w:rsidR="00277061">
        <w:rPr>
          <w:rFonts w:ascii="Times New Roman" w:hAnsi="Times New Roman" w:cs="Times New Roman"/>
          <w:color w:val="000000"/>
          <w:sz w:val="24"/>
          <w:szCs w:val="24"/>
          <w:lang w:val="en-US"/>
        </w:rPr>
        <w:t xml:space="preserve"> and economic status</w:t>
      </w:r>
      <w:r w:rsidR="00ED17C0">
        <w:rPr>
          <w:rFonts w:ascii="Times New Roman" w:hAnsi="Times New Roman" w:cs="Times New Roman"/>
          <w:color w:val="000000"/>
          <w:sz w:val="24"/>
          <w:szCs w:val="24"/>
          <w:lang w:val="en-US"/>
        </w:rPr>
        <w:t>.</w:t>
      </w:r>
    </w:p>
    <w:p w14:paraId="76A35EBB" w14:textId="77777777" w:rsidR="0042554F" w:rsidRPr="004C75E0" w:rsidRDefault="00E13D3B" w:rsidP="00A60BD4">
      <w:pPr>
        <w:spacing w:line="360" w:lineRule="auto"/>
        <w:jc w:val="both"/>
        <w:rPr>
          <w:rFonts w:ascii="Times New Roman" w:hAnsi="Times New Roman" w:cs="Times New Roman"/>
          <w:color w:val="000000"/>
          <w:sz w:val="24"/>
          <w:szCs w:val="24"/>
          <w:lang w:val="en-US"/>
        </w:rPr>
      </w:pPr>
      <w:r w:rsidRPr="004C75E0">
        <w:rPr>
          <w:rFonts w:ascii="Times New Roman" w:hAnsi="Times New Roman" w:cs="Times New Roman"/>
          <w:color w:val="000000"/>
          <w:sz w:val="24"/>
          <w:szCs w:val="24"/>
          <w:lang w:val="en-US"/>
        </w:rPr>
        <w:t>Sub-national trends for primary completion rate for the ten-year period from 2004 to</w:t>
      </w:r>
      <w:r w:rsidR="007B52F6">
        <w:rPr>
          <w:rFonts w:ascii="Times New Roman" w:hAnsi="Times New Roman" w:cs="Times New Roman"/>
          <w:color w:val="000000"/>
          <w:sz w:val="24"/>
          <w:szCs w:val="24"/>
          <w:lang w:val="en-US"/>
        </w:rPr>
        <w:t xml:space="preserve"> 2014 are illustrated in Table 3.5</w:t>
      </w:r>
      <w:r w:rsidRPr="004C75E0">
        <w:rPr>
          <w:rFonts w:ascii="Times New Roman" w:hAnsi="Times New Roman" w:cs="Times New Roman"/>
          <w:color w:val="000000"/>
          <w:sz w:val="24"/>
          <w:szCs w:val="24"/>
          <w:lang w:val="en-US"/>
        </w:rPr>
        <w:t>. In this period, the aggregate primary completion rate for Zambia rose by 14.2 percentage points, rising from 72 percent in 2004 to 86.2 percent in 2014. Of the nine provinces with data for 2014, four had completion rates of 90 percent and above in 2014. These are Central (103.1 percent), Copperbelt (91.5 percent) North-Western (99 percent), and Southern province (91.1). Only Central province, however has already met and exceeded the 100 percent MDG target for primary completion rate as at 2014.</w:t>
      </w:r>
      <w:r w:rsidR="00AB070D" w:rsidRPr="00AB070D">
        <w:rPr>
          <w:rFonts w:ascii="Times New Roman" w:hAnsi="Times New Roman" w:cs="Times New Roman"/>
          <w:color w:val="000000"/>
          <w:sz w:val="24"/>
          <w:szCs w:val="24"/>
          <w:lang w:val="en-US"/>
        </w:rPr>
        <w:t xml:space="preserve"> </w:t>
      </w:r>
    </w:p>
    <w:p w14:paraId="747614FB" w14:textId="77777777" w:rsidR="00E13D3B" w:rsidRPr="00893C5F" w:rsidRDefault="007B52F6" w:rsidP="00893C5F">
      <w:pPr>
        <w:pStyle w:val="NoSpacing"/>
        <w:rPr>
          <w:rFonts w:ascii="Times New Roman" w:hAnsi="Times New Roman" w:cs="Times New Roman"/>
          <w:b/>
        </w:rPr>
      </w:pPr>
      <w:r>
        <w:rPr>
          <w:rFonts w:ascii="Times New Roman" w:hAnsi="Times New Roman" w:cs="Times New Roman"/>
          <w:b/>
        </w:rPr>
        <w:t>Table 3.5</w:t>
      </w:r>
      <w:r w:rsidR="00E13D3B" w:rsidRPr="00893C5F">
        <w:rPr>
          <w:rFonts w:ascii="Times New Roman" w:hAnsi="Times New Roman" w:cs="Times New Roman"/>
          <w:b/>
        </w:rPr>
        <w:t>: Changes in Completion Rate (%) for Grade 7 by Sex and Province, 2004-2014</w:t>
      </w:r>
    </w:p>
    <w:tbl>
      <w:tblPr>
        <w:tblStyle w:val="PlainTable210"/>
        <w:tblW w:w="0" w:type="auto"/>
        <w:tblLook w:val="04A0" w:firstRow="1" w:lastRow="0" w:firstColumn="1" w:lastColumn="0" w:noHBand="0" w:noVBand="1"/>
      </w:tblPr>
      <w:tblGrid>
        <w:gridCol w:w="1256"/>
        <w:gridCol w:w="563"/>
        <w:gridCol w:w="714"/>
        <w:gridCol w:w="581"/>
        <w:gridCol w:w="576"/>
        <w:gridCol w:w="714"/>
        <w:gridCol w:w="581"/>
        <w:gridCol w:w="1652"/>
        <w:gridCol w:w="2367"/>
      </w:tblGrid>
      <w:tr w:rsidR="00E13D3B" w:rsidRPr="004C75E0" w14:paraId="4F38C4DB" w14:textId="77777777" w:rsidTr="000A2C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10FD47F" w14:textId="77777777" w:rsidR="00E13D3B" w:rsidRPr="004C75E0" w:rsidRDefault="00E13D3B" w:rsidP="00E54282">
            <w:pPr>
              <w:jc w:val="both"/>
              <w:rPr>
                <w:rFonts w:ascii="Times New Roman" w:hAnsi="Times New Roman" w:cs="Times New Roman"/>
                <w:color w:val="000000"/>
                <w:sz w:val="16"/>
                <w:szCs w:val="16"/>
              </w:rPr>
            </w:pPr>
          </w:p>
        </w:tc>
        <w:tc>
          <w:tcPr>
            <w:tcW w:w="0" w:type="auto"/>
            <w:gridSpan w:val="3"/>
          </w:tcPr>
          <w:p w14:paraId="0757FAF6" w14:textId="77777777" w:rsidR="00E13D3B" w:rsidRPr="004C75E0" w:rsidRDefault="00E13D3B" w:rsidP="00E5428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2004</w:t>
            </w:r>
          </w:p>
        </w:tc>
        <w:tc>
          <w:tcPr>
            <w:tcW w:w="0" w:type="auto"/>
            <w:gridSpan w:val="3"/>
          </w:tcPr>
          <w:p w14:paraId="5543555B" w14:textId="77777777" w:rsidR="00E13D3B" w:rsidRPr="004C75E0" w:rsidRDefault="00E13D3B" w:rsidP="00E5428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2014</w:t>
            </w:r>
          </w:p>
        </w:tc>
        <w:tc>
          <w:tcPr>
            <w:tcW w:w="0" w:type="auto"/>
          </w:tcPr>
          <w:p w14:paraId="132E616C" w14:textId="77777777" w:rsidR="00E13D3B" w:rsidRPr="004C75E0" w:rsidRDefault="00E13D3B" w:rsidP="00E5428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 xml:space="preserve">Total </w:t>
            </w:r>
          </w:p>
          <w:p w14:paraId="755C2C25" w14:textId="77777777" w:rsidR="00E13D3B" w:rsidRPr="004C75E0" w:rsidRDefault="00E13D3B" w:rsidP="00E5428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 xml:space="preserve">percentage gains/loss </w:t>
            </w:r>
          </w:p>
          <w:p w14:paraId="6C168552" w14:textId="77777777" w:rsidR="00E13D3B" w:rsidRPr="004C75E0" w:rsidRDefault="00E13D3B" w:rsidP="00E5428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2004-2014</w:t>
            </w:r>
          </w:p>
        </w:tc>
        <w:tc>
          <w:tcPr>
            <w:tcW w:w="0" w:type="auto"/>
          </w:tcPr>
          <w:p w14:paraId="37057AA0" w14:textId="77777777" w:rsidR="00E13D3B" w:rsidRPr="004C75E0" w:rsidRDefault="00E13D3B" w:rsidP="00E5428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 xml:space="preserve">Total </w:t>
            </w:r>
          </w:p>
          <w:p w14:paraId="683E0BE3" w14:textId="77777777" w:rsidR="00E13D3B" w:rsidRPr="004C75E0" w:rsidRDefault="00E13D3B" w:rsidP="00E5428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 xml:space="preserve">percentage </w:t>
            </w:r>
          </w:p>
          <w:p w14:paraId="2F5AF369" w14:textId="77777777" w:rsidR="00E13D3B" w:rsidRPr="004C75E0" w:rsidRDefault="00E13D3B" w:rsidP="00E5428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point gap to MDG target of 100</w:t>
            </w:r>
          </w:p>
        </w:tc>
      </w:tr>
      <w:tr w:rsidR="00E13D3B" w:rsidRPr="004C75E0" w14:paraId="5FC32E37" w14:textId="77777777" w:rsidTr="000A2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FE4EADC" w14:textId="77777777" w:rsidR="00E13D3B" w:rsidRPr="004C75E0" w:rsidRDefault="00E13D3B" w:rsidP="00E54282">
            <w:pPr>
              <w:jc w:val="both"/>
              <w:rPr>
                <w:rFonts w:ascii="Times New Roman" w:hAnsi="Times New Roman" w:cs="Times New Roman"/>
                <w:color w:val="000000"/>
                <w:sz w:val="16"/>
                <w:szCs w:val="16"/>
              </w:rPr>
            </w:pPr>
          </w:p>
        </w:tc>
        <w:tc>
          <w:tcPr>
            <w:tcW w:w="0" w:type="auto"/>
          </w:tcPr>
          <w:p w14:paraId="1C12E9F1"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sz w:val="16"/>
                <w:szCs w:val="16"/>
              </w:rPr>
            </w:pPr>
            <w:r w:rsidRPr="004C75E0">
              <w:rPr>
                <w:rFonts w:ascii="Times New Roman" w:hAnsi="Times New Roman" w:cs="Times New Roman"/>
                <w:b/>
                <w:color w:val="000000"/>
                <w:sz w:val="16"/>
                <w:szCs w:val="16"/>
              </w:rPr>
              <w:t>Male</w:t>
            </w:r>
          </w:p>
        </w:tc>
        <w:tc>
          <w:tcPr>
            <w:tcW w:w="0" w:type="auto"/>
          </w:tcPr>
          <w:p w14:paraId="1CA58B3C"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sz w:val="16"/>
                <w:szCs w:val="16"/>
              </w:rPr>
            </w:pPr>
            <w:r w:rsidRPr="004C75E0">
              <w:rPr>
                <w:rFonts w:ascii="Times New Roman" w:hAnsi="Times New Roman" w:cs="Times New Roman"/>
                <w:b/>
                <w:color w:val="000000"/>
                <w:sz w:val="16"/>
                <w:szCs w:val="16"/>
              </w:rPr>
              <w:t>Female</w:t>
            </w:r>
          </w:p>
        </w:tc>
        <w:tc>
          <w:tcPr>
            <w:tcW w:w="0" w:type="auto"/>
          </w:tcPr>
          <w:p w14:paraId="15DB379E"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sz w:val="16"/>
                <w:szCs w:val="16"/>
              </w:rPr>
            </w:pPr>
            <w:r w:rsidRPr="004C75E0">
              <w:rPr>
                <w:rFonts w:ascii="Times New Roman" w:hAnsi="Times New Roman" w:cs="Times New Roman"/>
                <w:b/>
                <w:color w:val="000000"/>
                <w:sz w:val="16"/>
                <w:szCs w:val="16"/>
              </w:rPr>
              <w:t>Total</w:t>
            </w:r>
          </w:p>
        </w:tc>
        <w:tc>
          <w:tcPr>
            <w:tcW w:w="0" w:type="auto"/>
          </w:tcPr>
          <w:p w14:paraId="15F1726E"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sz w:val="16"/>
                <w:szCs w:val="16"/>
              </w:rPr>
            </w:pPr>
            <w:r w:rsidRPr="004C75E0">
              <w:rPr>
                <w:rFonts w:ascii="Times New Roman" w:hAnsi="Times New Roman" w:cs="Times New Roman"/>
                <w:b/>
                <w:color w:val="000000"/>
                <w:sz w:val="16"/>
                <w:szCs w:val="16"/>
              </w:rPr>
              <w:t>Male</w:t>
            </w:r>
          </w:p>
        </w:tc>
        <w:tc>
          <w:tcPr>
            <w:tcW w:w="0" w:type="auto"/>
          </w:tcPr>
          <w:p w14:paraId="6ABFAB1E"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sz w:val="16"/>
                <w:szCs w:val="16"/>
              </w:rPr>
            </w:pPr>
            <w:r w:rsidRPr="004C75E0">
              <w:rPr>
                <w:rFonts w:ascii="Times New Roman" w:hAnsi="Times New Roman" w:cs="Times New Roman"/>
                <w:b/>
                <w:color w:val="000000"/>
                <w:sz w:val="16"/>
                <w:szCs w:val="16"/>
              </w:rPr>
              <w:t>Female</w:t>
            </w:r>
          </w:p>
        </w:tc>
        <w:tc>
          <w:tcPr>
            <w:tcW w:w="0" w:type="auto"/>
          </w:tcPr>
          <w:p w14:paraId="561490D6"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sz w:val="16"/>
                <w:szCs w:val="16"/>
              </w:rPr>
            </w:pPr>
            <w:r w:rsidRPr="004C75E0">
              <w:rPr>
                <w:rFonts w:ascii="Times New Roman" w:hAnsi="Times New Roman" w:cs="Times New Roman"/>
                <w:b/>
                <w:color w:val="000000"/>
                <w:sz w:val="16"/>
                <w:szCs w:val="16"/>
              </w:rPr>
              <w:t>Total</w:t>
            </w:r>
          </w:p>
        </w:tc>
        <w:tc>
          <w:tcPr>
            <w:tcW w:w="0" w:type="auto"/>
          </w:tcPr>
          <w:p w14:paraId="6E055401"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sz w:val="16"/>
                <w:szCs w:val="16"/>
              </w:rPr>
            </w:pPr>
          </w:p>
        </w:tc>
        <w:tc>
          <w:tcPr>
            <w:tcW w:w="0" w:type="auto"/>
          </w:tcPr>
          <w:p w14:paraId="5D74AAA4"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sz w:val="16"/>
                <w:szCs w:val="16"/>
              </w:rPr>
            </w:pPr>
          </w:p>
        </w:tc>
      </w:tr>
      <w:tr w:rsidR="00E13D3B" w:rsidRPr="004C75E0" w14:paraId="1B06BEA1" w14:textId="77777777" w:rsidTr="000A2C73">
        <w:tc>
          <w:tcPr>
            <w:cnfStyle w:val="001000000000" w:firstRow="0" w:lastRow="0" w:firstColumn="1" w:lastColumn="0" w:oddVBand="0" w:evenVBand="0" w:oddHBand="0" w:evenHBand="0" w:firstRowFirstColumn="0" w:firstRowLastColumn="0" w:lastRowFirstColumn="0" w:lastRowLastColumn="0"/>
            <w:tcW w:w="0" w:type="auto"/>
          </w:tcPr>
          <w:p w14:paraId="5DD0EF9C" w14:textId="77777777" w:rsidR="00E13D3B" w:rsidRPr="004C75E0" w:rsidRDefault="00E13D3B" w:rsidP="00E54282">
            <w:pPr>
              <w:jc w:val="both"/>
              <w:rPr>
                <w:rFonts w:ascii="Times New Roman" w:hAnsi="Times New Roman" w:cs="Times New Roman"/>
                <w:color w:val="000000"/>
                <w:sz w:val="16"/>
                <w:szCs w:val="16"/>
              </w:rPr>
            </w:pPr>
            <w:r w:rsidRPr="004C75E0">
              <w:rPr>
                <w:rFonts w:ascii="Times New Roman" w:hAnsi="Times New Roman" w:cs="Times New Roman"/>
                <w:color w:val="000000"/>
                <w:sz w:val="16"/>
                <w:szCs w:val="16"/>
              </w:rPr>
              <w:t>National</w:t>
            </w:r>
          </w:p>
        </w:tc>
        <w:tc>
          <w:tcPr>
            <w:tcW w:w="0" w:type="auto"/>
          </w:tcPr>
          <w:p w14:paraId="338528A3"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78.3</w:t>
            </w:r>
          </w:p>
        </w:tc>
        <w:tc>
          <w:tcPr>
            <w:tcW w:w="0" w:type="auto"/>
          </w:tcPr>
          <w:p w14:paraId="1674BD73"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65.8</w:t>
            </w:r>
          </w:p>
        </w:tc>
        <w:tc>
          <w:tcPr>
            <w:tcW w:w="0" w:type="auto"/>
          </w:tcPr>
          <w:p w14:paraId="17949C27"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72.0</w:t>
            </w:r>
          </w:p>
        </w:tc>
        <w:tc>
          <w:tcPr>
            <w:tcW w:w="0" w:type="auto"/>
          </w:tcPr>
          <w:p w14:paraId="3B374090"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88.9</w:t>
            </w:r>
          </w:p>
        </w:tc>
        <w:tc>
          <w:tcPr>
            <w:tcW w:w="0" w:type="auto"/>
          </w:tcPr>
          <w:p w14:paraId="51B49739"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83.6</w:t>
            </w:r>
          </w:p>
        </w:tc>
        <w:tc>
          <w:tcPr>
            <w:tcW w:w="0" w:type="auto"/>
          </w:tcPr>
          <w:p w14:paraId="181A476B"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86.2</w:t>
            </w:r>
          </w:p>
        </w:tc>
        <w:tc>
          <w:tcPr>
            <w:tcW w:w="0" w:type="auto"/>
          </w:tcPr>
          <w:p w14:paraId="433281F4"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14.2</w:t>
            </w:r>
          </w:p>
        </w:tc>
        <w:tc>
          <w:tcPr>
            <w:tcW w:w="0" w:type="auto"/>
          </w:tcPr>
          <w:p w14:paraId="03B03C52"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13.8</w:t>
            </w:r>
          </w:p>
        </w:tc>
      </w:tr>
      <w:tr w:rsidR="00E13D3B" w:rsidRPr="004C75E0" w14:paraId="0C6BB1C8" w14:textId="77777777" w:rsidTr="000A2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CBD9BD" w14:textId="77777777" w:rsidR="00E13D3B" w:rsidRPr="004C75E0" w:rsidRDefault="00E13D3B" w:rsidP="00E54282">
            <w:pPr>
              <w:jc w:val="both"/>
              <w:rPr>
                <w:rFonts w:ascii="Times New Roman" w:hAnsi="Times New Roman" w:cs="Times New Roman"/>
                <w:color w:val="000000"/>
                <w:sz w:val="16"/>
                <w:szCs w:val="16"/>
              </w:rPr>
            </w:pPr>
            <w:r w:rsidRPr="004C75E0">
              <w:rPr>
                <w:rFonts w:ascii="Times New Roman" w:hAnsi="Times New Roman" w:cs="Times New Roman"/>
                <w:color w:val="000000"/>
                <w:sz w:val="16"/>
                <w:szCs w:val="16"/>
              </w:rPr>
              <w:t>Central</w:t>
            </w:r>
          </w:p>
        </w:tc>
        <w:tc>
          <w:tcPr>
            <w:tcW w:w="0" w:type="auto"/>
          </w:tcPr>
          <w:p w14:paraId="636D0ACA"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85.2</w:t>
            </w:r>
          </w:p>
        </w:tc>
        <w:tc>
          <w:tcPr>
            <w:tcW w:w="0" w:type="auto"/>
          </w:tcPr>
          <w:p w14:paraId="6943CD35"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76</w:t>
            </w:r>
          </w:p>
        </w:tc>
        <w:tc>
          <w:tcPr>
            <w:tcW w:w="0" w:type="auto"/>
          </w:tcPr>
          <w:p w14:paraId="692464AF"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80.6</w:t>
            </w:r>
          </w:p>
        </w:tc>
        <w:tc>
          <w:tcPr>
            <w:tcW w:w="0" w:type="auto"/>
          </w:tcPr>
          <w:p w14:paraId="34378623"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105.0</w:t>
            </w:r>
          </w:p>
        </w:tc>
        <w:tc>
          <w:tcPr>
            <w:tcW w:w="0" w:type="auto"/>
          </w:tcPr>
          <w:p w14:paraId="5121AA28"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101.3</w:t>
            </w:r>
          </w:p>
        </w:tc>
        <w:tc>
          <w:tcPr>
            <w:tcW w:w="0" w:type="auto"/>
          </w:tcPr>
          <w:p w14:paraId="13899846"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103.1</w:t>
            </w:r>
          </w:p>
        </w:tc>
        <w:tc>
          <w:tcPr>
            <w:tcW w:w="0" w:type="auto"/>
          </w:tcPr>
          <w:p w14:paraId="20A383CF"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22.5</w:t>
            </w:r>
          </w:p>
        </w:tc>
        <w:tc>
          <w:tcPr>
            <w:tcW w:w="0" w:type="auto"/>
          </w:tcPr>
          <w:p w14:paraId="3C044F87"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0</w:t>
            </w:r>
          </w:p>
        </w:tc>
      </w:tr>
      <w:tr w:rsidR="00E13D3B" w:rsidRPr="004C75E0" w14:paraId="53983BCB" w14:textId="77777777" w:rsidTr="000A2C73">
        <w:tc>
          <w:tcPr>
            <w:cnfStyle w:val="001000000000" w:firstRow="0" w:lastRow="0" w:firstColumn="1" w:lastColumn="0" w:oddVBand="0" w:evenVBand="0" w:oddHBand="0" w:evenHBand="0" w:firstRowFirstColumn="0" w:firstRowLastColumn="0" w:lastRowFirstColumn="0" w:lastRowLastColumn="0"/>
            <w:tcW w:w="0" w:type="auto"/>
          </w:tcPr>
          <w:p w14:paraId="1A9000ED" w14:textId="77777777" w:rsidR="00E13D3B" w:rsidRPr="004C75E0" w:rsidRDefault="00E13D3B" w:rsidP="00E54282">
            <w:pPr>
              <w:jc w:val="both"/>
              <w:rPr>
                <w:rFonts w:ascii="Times New Roman" w:hAnsi="Times New Roman" w:cs="Times New Roman"/>
                <w:color w:val="000000"/>
                <w:sz w:val="16"/>
                <w:szCs w:val="16"/>
              </w:rPr>
            </w:pPr>
            <w:r w:rsidRPr="004C75E0">
              <w:rPr>
                <w:rFonts w:ascii="Times New Roman" w:hAnsi="Times New Roman" w:cs="Times New Roman"/>
                <w:color w:val="000000"/>
                <w:sz w:val="16"/>
                <w:szCs w:val="16"/>
              </w:rPr>
              <w:t>Copperbelt</w:t>
            </w:r>
          </w:p>
        </w:tc>
        <w:tc>
          <w:tcPr>
            <w:tcW w:w="0" w:type="auto"/>
          </w:tcPr>
          <w:p w14:paraId="21805193"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92.1</w:t>
            </w:r>
          </w:p>
        </w:tc>
        <w:tc>
          <w:tcPr>
            <w:tcW w:w="0" w:type="auto"/>
          </w:tcPr>
          <w:p w14:paraId="52C64733"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85.3</w:t>
            </w:r>
          </w:p>
        </w:tc>
        <w:tc>
          <w:tcPr>
            <w:tcW w:w="0" w:type="auto"/>
          </w:tcPr>
          <w:p w14:paraId="1BA63E5B"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88.6</w:t>
            </w:r>
          </w:p>
        </w:tc>
        <w:tc>
          <w:tcPr>
            <w:tcW w:w="0" w:type="auto"/>
          </w:tcPr>
          <w:p w14:paraId="53B2DFD5"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91.6</w:t>
            </w:r>
          </w:p>
        </w:tc>
        <w:tc>
          <w:tcPr>
            <w:tcW w:w="0" w:type="auto"/>
          </w:tcPr>
          <w:p w14:paraId="1041BFC1"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91.4</w:t>
            </w:r>
          </w:p>
        </w:tc>
        <w:tc>
          <w:tcPr>
            <w:tcW w:w="0" w:type="auto"/>
          </w:tcPr>
          <w:p w14:paraId="45660CA1"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91.5</w:t>
            </w:r>
          </w:p>
        </w:tc>
        <w:tc>
          <w:tcPr>
            <w:tcW w:w="0" w:type="auto"/>
          </w:tcPr>
          <w:p w14:paraId="76FF5B32"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2.9</w:t>
            </w:r>
          </w:p>
        </w:tc>
        <w:tc>
          <w:tcPr>
            <w:tcW w:w="0" w:type="auto"/>
          </w:tcPr>
          <w:p w14:paraId="3D5A7DC8"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8.5</w:t>
            </w:r>
          </w:p>
        </w:tc>
      </w:tr>
      <w:tr w:rsidR="00E13D3B" w:rsidRPr="004C75E0" w14:paraId="2828E5DC" w14:textId="77777777" w:rsidTr="000A2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23AC84B" w14:textId="77777777" w:rsidR="00E13D3B" w:rsidRPr="004C75E0" w:rsidRDefault="00E13D3B" w:rsidP="00E54282">
            <w:pPr>
              <w:jc w:val="both"/>
              <w:rPr>
                <w:rFonts w:ascii="Times New Roman" w:hAnsi="Times New Roman" w:cs="Times New Roman"/>
                <w:color w:val="000000"/>
                <w:sz w:val="16"/>
                <w:szCs w:val="16"/>
              </w:rPr>
            </w:pPr>
            <w:r w:rsidRPr="004C75E0">
              <w:rPr>
                <w:rFonts w:ascii="Times New Roman" w:hAnsi="Times New Roman" w:cs="Times New Roman"/>
                <w:color w:val="000000"/>
                <w:sz w:val="16"/>
                <w:szCs w:val="16"/>
              </w:rPr>
              <w:t>Eastern</w:t>
            </w:r>
          </w:p>
        </w:tc>
        <w:tc>
          <w:tcPr>
            <w:tcW w:w="0" w:type="auto"/>
          </w:tcPr>
          <w:p w14:paraId="7422AE26"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56.2</w:t>
            </w:r>
          </w:p>
        </w:tc>
        <w:tc>
          <w:tcPr>
            <w:tcW w:w="0" w:type="auto"/>
          </w:tcPr>
          <w:p w14:paraId="717FDDE4"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42.4</w:t>
            </w:r>
          </w:p>
        </w:tc>
        <w:tc>
          <w:tcPr>
            <w:tcW w:w="0" w:type="auto"/>
          </w:tcPr>
          <w:p w14:paraId="517057DB"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49.3</w:t>
            </w:r>
          </w:p>
        </w:tc>
        <w:tc>
          <w:tcPr>
            <w:tcW w:w="0" w:type="auto"/>
          </w:tcPr>
          <w:p w14:paraId="5DE75947"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72.8</w:t>
            </w:r>
          </w:p>
        </w:tc>
        <w:tc>
          <w:tcPr>
            <w:tcW w:w="0" w:type="auto"/>
          </w:tcPr>
          <w:p w14:paraId="0F58E824"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66.5</w:t>
            </w:r>
          </w:p>
        </w:tc>
        <w:tc>
          <w:tcPr>
            <w:tcW w:w="0" w:type="auto"/>
          </w:tcPr>
          <w:p w14:paraId="60CE5D68"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69.7</w:t>
            </w:r>
          </w:p>
        </w:tc>
        <w:tc>
          <w:tcPr>
            <w:tcW w:w="0" w:type="auto"/>
          </w:tcPr>
          <w:p w14:paraId="67E23EB0"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20.4</w:t>
            </w:r>
          </w:p>
        </w:tc>
        <w:tc>
          <w:tcPr>
            <w:tcW w:w="0" w:type="auto"/>
          </w:tcPr>
          <w:p w14:paraId="6D8BD2F5"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30.3</w:t>
            </w:r>
          </w:p>
        </w:tc>
      </w:tr>
      <w:tr w:rsidR="00E13D3B" w:rsidRPr="004C75E0" w14:paraId="3F93CA5C" w14:textId="77777777" w:rsidTr="000A2C73">
        <w:tc>
          <w:tcPr>
            <w:cnfStyle w:val="001000000000" w:firstRow="0" w:lastRow="0" w:firstColumn="1" w:lastColumn="0" w:oddVBand="0" w:evenVBand="0" w:oddHBand="0" w:evenHBand="0" w:firstRowFirstColumn="0" w:firstRowLastColumn="0" w:lastRowFirstColumn="0" w:lastRowLastColumn="0"/>
            <w:tcW w:w="0" w:type="auto"/>
          </w:tcPr>
          <w:p w14:paraId="4406EF48" w14:textId="77777777" w:rsidR="00E13D3B" w:rsidRPr="004C75E0" w:rsidRDefault="00E13D3B" w:rsidP="00E54282">
            <w:pPr>
              <w:jc w:val="both"/>
              <w:rPr>
                <w:rFonts w:ascii="Times New Roman" w:hAnsi="Times New Roman" w:cs="Times New Roman"/>
                <w:color w:val="000000"/>
                <w:sz w:val="16"/>
                <w:szCs w:val="16"/>
              </w:rPr>
            </w:pPr>
            <w:r w:rsidRPr="004C75E0">
              <w:rPr>
                <w:rFonts w:ascii="Times New Roman" w:hAnsi="Times New Roman" w:cs="Times New Roman"/>
                <w:color w:val="000000"/>
                <w:sz w:val="16"/>
                <w:szCs w:val="16"/>
              </w:rPr>
              <w:t>Luapula</w:t>
            </w:r>
          </w:p>
        </w:tc>
        <w:tc>
          <w:tcPr>
            <w:tcW w:w="0" w:type="auto"/>
          </w:tcPr>
          <w:p w14:paraId="59166623"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62.8</w:t>
            </w:r>
          </w:p>
        </w:tc>
        <w:tc>
          <w:tcPr>
            <w:tcW w:w="0" w:type="auto"/>
          </w:tcPr>
          <w:p w14:paraId="4B592368"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43.3</w:t>
            </w:r>
          </w:p>
        </w:tc>
        <w:tc>
          <w:tcPr>
            <w:tcW w:w="0" w:type="auto"/>
          </w:tcPr>
          <w:p w14:paraId="35B02CB1"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53.1</w:t>
            </w:r>
          </w:p>
        </w:tc>
        <w:tc>
          <w:tcPr>
            <w:tcW w:w="0" w:type="auto"/>
          </w:tcPr>
          <w:p w14:paraId="42AF48F5"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91.8</w:t>
            </w:r>
          </w:p>
        </w:tc>
        <w:tc>
          <w:tcPr>
            <w:tcW w:w="0" w:type="auto"/>
          </w:tcPr>
          <w:p w14:paraId="598EC3DB"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78.7</w:t>
            </w:r>
          </w:p>
        </w:tc>
        <w:tc>
          <w:tcPr>
            <w:tcW w:w="0" w:type="auto"/>
          </w:tcPr>
          <w:p w14:paraId="54FC9521"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85.3</w:t>
            </w:r>
          </w:p>
        </w:tc>
        <w:tc>
          <w:tcPr>
            <w:tcW w:w="0" w:type="auto"/>
          </w:tcPr>
          <w:p w14:paraId="78F1F464"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32.2</w:t>
            </w:r>
          </w:p>
        </w:tc>
        <w:tc>
          <w:tcPr>
            <w:tcW w:w="0" w:type="auto"/>
          </w:tcPr>
          <w:p w14:paraId="7539A59F"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14.7</w:t>
            </w:r>
          </w:p>
        </w:tc>
      </w:tr>
      <w:tr w:rsidR="00E13D3B" w:rsidRPr="004C75E0" w14:paraId="5070C7F4" w14:textId="77777777" w:rsidTr="000A2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3C7002B" w14:textId="77777777" w:rsidR="00E13D3B" w:rsidRPr="004C75E0" w:rsidRDefault="00E13D3B" w:rsidP="00E54282">
            <w:pPr>
              <w:jc w:val="both"/>
              <w:rPr>
                <w:rFonts w:ascii="Times New Roman" w:hAnsi="Times New Roman" w:cs="Times New Roman"/>
                <w:color w:val="000000"/>
                <w:sz w:val="16"/>
                <w:szCs w:val="16"/>
              </w:rPr>
            </w:pPr>
            <w:r w:rsidRPr="004C75E0">
              <w:rPr>
                <w:rFonts w:ascii="Times New Roman" w:hAnsi="Times New Roman" w:cs="Times New Roman"/>
                <w:color w:val="000000"/>
                <w:sz w:val="16"/>
                <w:szCs w:val="16"/>
              </w:rPr>
              <w:t>Lusaka</w:t>
            </w:r>
          </w:p>
        </w:tc>
        <w:tc>
          <w:tcPr>
            <w:tcW w:w="0" w:type="auto"/>
          </w:tcPr>
          <w:p w14:paraId="245E35CF"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84.1</w:t>
            </w:r>
          </w:p>
        </w:tc>
        <w:tc>
          <w:tcPr>
            <w:tcW w:w="0" w:type="auto"/>
          </w:tcPr>
          <w:p w14:paraId="4D4304EA"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82.1</w:t>
            </w:r>
          </w:p>
        </w:tc>
        <w:tc>
          <w:tcPr>
            <w:tcW w:w="0" w:type="auto"/>
          </w:tcPr>
          <w:p w14:paraId="1F20601F"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83.1</w:t>
            </w:r>
          </w:p>
        </w:tc>
        <w:tc>
          <w:tcPr>
            <w:tcW w:w="0" w:type="auto"/>
          </w:tcPr>
          <w:p w14:paraId="38145A4E"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86.8</w:t>
            </w:r>
          </w:p>
        </w:tc>
        <w:tc>
          <w:tcPr>
            <w:tcW w:w="0" w:type="auto"/>
          </w:tcPr>
          <w:p w14:paraId="7FD94264"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84.4</w:t>
            </w:r>
          </w:p>
        </w:tc>
        <w:tc>
          <w:tcPr>
            <w:tcW w:w="0" w:type="auto"/>
          </w:tcPr>
          <w:p w14:paraId="4CD4F149"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85.5</w:t>
            </w:r>
          </w:p>
        </w:tc>
        <w:tc>
          <w:tcPr>
            <w:tcW w:w="0" w:type="auto"/>
          </w:tcPr>
          <w:p w14:paraId="20395A35"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2.4</w:t>
            </w:r>
          </w:p>
        </w:tc>
        <w:tc>
          <w:tcPr>
            <w:tcW w:w="0" w:type="auto"/>
          </w:tcPr>
          <w:p w14:paraId="5346712E"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14.5</w:t>
            </w:r>
          </w:p>
        </w:tc>
      </w:tr>
      <w:tr w:rsidR="00E13D3B" w:rsidRPr="004C75E0" w14:paraId="3934EE86" w14:textId="77777777" w:rsidTr="000A2C73">
        <w:tc>
          <w:tcPr>
            <w:cnfStyle w:val="001000000000" w:firstRow="0" w:lastRow="0" w:firstColumn="1" w:lastColumn="0" w:oddVBand="0" w:evenVBand="0" w:oddHBand="0" w:evenHBand="0" w:firstRowFirstColumn="0" w:firstRowLastColumn="0" w:lastRowFirstColumn="0" w:lastRowLastColumn="0"/>
            <w:tcW w:w="0" w:type="auto"/>
          </w:tcPr>
          <w:p w14:paraId="11B3B81B" w14:textId="77777777" w:rsidR="00E13D3B" w:rsidRPr="004C75E0" w:rsidRDefault="00E13D3B" w:rsidP="00E54282">
            <w:pPr>
              <w:jc w:val="both"/>
              <w:rPr>
                <w:rFonts w:ascii="Times New Roman" w:hAnsi="Times New Roman" w:cs="Times New Roman"/>
                <w:color w:val="000000"/>
                <w:sz w:val="16"/>
                <w:szCs w:val="16"/>
              </w:rPr>
            </w:pPr>
            <w:r w:rsidRPr="004C75E0">
              <w:rPr>
                <w:rFonts w:ascii="Times New Roman" w:hAnsi="Times New Roman" w:cs="Times New Roman"/>
                <w:color w:val="000000"/>
                <w:sz w:val="16"/>
                <w:szCs w:val="16"/>
              </w:rPr>
              <w:t>North-Western</w:t>
            </w:r>
          </w:p>
        </w:tc>
        <w:tc>
          <w:tcPr>
            <w:tcW w:w="0" w:type="auto"/>
          </w:tcPr>
          <w:p w14:paraId="36AA9CD4"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74.9</w:t>
            </w:r>
          </w:p>
        </w:tc>
        <w:tc>
          <w:tcPr>
            <w:tcW w:w="0" w:type="auto"/>
          </w:tcPr>
          <w:p w14:paraId="4A4F539F"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55.9</w:t>
            </w:r>
          </w:p>
        </w:tc>
        <w:tc>
          <w:tcPr>
            <w:tcW w:w="0" w:type="auto"/>
          </w:tcPr>
          <w:p w14:paraId="6047D619"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65.4</w:t>
            </w:r>
          </w:p>
        </w:tc>
        <w:tc>
          <w:tcPr>
            <w:tcW w:w="0" w:type="auto"/>
          </w:tcPr>
          <w:p w14:paraId="3EED6708"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102.2</w:t>
            </w:r>
          </w:p>
        </w:tc>
        <w:tc>
          <w:tcPr>
            <w:tcW w:w="0" w:type="auto"/>
          </w:tcPr>
          <w:p w14:paraId="3496719A"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95.7</w:t>
            </w:r>
          </w:p>
        </w:tc>
        <w:tc>
          <w:tcPr>
            <w:tcW w:w="0" w:type="auto"/>
          </w:tcPr>
          <w:p w14:paraId="0A90F6AB"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99.0</w:t>
            </w:r>
          </w:p>
        </w:tc>
        <w:tc>
          <w:tcPr>
            <w:tcW w:w="0" w:type="auto"/>
          </w:tcPr>
          <w:p w14:paraId="7653A9CD"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33.6</w:t>
            </w:r>
          </w:p>
        </w:tc>
        <w:tc>
          <w:tcPr>
            <w:tcW w:w="0" w:type="auto"/>
          </w:tcPr>
          <w:p w14:paraId="02A619B5"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1</w:t>
            </w:r>
          </w:p>
        </w:tc>
      </w:tr>
      <w:tr w:rsidR="00E13D3B" w:rsidRPr="004C75E0" w14:paraId="300F547D" w14:textId="77777777" w:rsidTr="000A2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EAF663F" w14:textId="77777777" w:rsidR="00E13D3B" w:rsidRPr="004C75E0" w:rsidRDefault="00E13D3B" w:rsidP="00E54282">
            <w:pPr>
              <w:jc w:val="both"/>
              <w:rPr>
                <w:rFonts w:ascii="Times New Roman" w:hAnsi="Times New Roman" w:cs="Times New Roman"/>
                <w:color w:val="000000"/>
                <w:sz w:val="16"/>
                <w:szCs w:val="16"/>
              </w:rPr>
            </w:pPr>
            <w:r w:rsidRPr="004C75E0">
              <w:rPr>
                <w:rFonts w:ascii="Times New Roman" w:hAnsi="Times New Roman" w:cs="Times New Roman"/>
                <w:color w:val="000000"/>
                <w:sz w:val="16"/>
                <w:szCs w:val="16"/>
              </w:rPr>
              <w:t>Northern</w:t>
            </w:r>
          </w:p>
        </w:tc>
        <w:tc>
          <w:tcPr>
            <w:tcW w:w="0" w:type="auto"/>
          </w:tcPr>
          <w:p w14:paraId="69F24804"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83.9</w:t>
            </w:r>
          </w:p>
        </w:tc>
        <w:tc>
          <w:tcPr>
            <w:tcW w:w="0" w:type="auto"/>
          </w:tcPr>
          <w:p w14:paraId="0EC1A616"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56.4</w:t>
            </w:r>
          </w:p>
        </w:tc>
        <w:tc>
          <w:tcPr>
            <w:tcW w:w="0" w:type="auto"/>
          </w:tcPr>
          <w:p w14:paraId="360D4B4C"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70.2</w:t>
            </w:r>
          </w:p>
        </w:tc>
        <w:tc>
          <w:tcPr>
            <w:tcW w:w="0" w:type="auto"/>
          </w:tcPr>
          <w:p w14:paraId="370E6A04"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80.3</w:t>
            </w:r>
          </w:p>
        </w:tc>
        <w:tc>
          <w:tcPr>
            <w:tcW w:w="0" w:type="auto"/>
          </w:tcPr>
          <w:p w14:paraId="3F05F944"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62.7</w:t>
            </w:r>
          </w:p>
        </w:tc>
        <w:tc>
          <w:tcPr>
            <w:tcW w:w="0" w:type="auto"/>
          </w:tcPr>
          <w:p w14:paraId="63386910"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71.6</w:t>
            </w:r>
          </w:p>
        </w:tc>
        <w:tc>
          <w:tcPr>
            <w:tcW w:w="0" w:type="auto"/>
          </w:tcPr>
          <w:p w14:paraId="06236FF8"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1.4</w:t>
            </w:r>
          </w:p>
        </w:tc>
        <w:tc>
          <w:tcPr>
            <w:tcW w:w="0" w:type="auto"/>
          </w:tcPr>
          <w:p w14:paraId="188B38D0"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28.4</w:t>
            </w:r>
          </w:p>
        </w:tc>
      </w:tr>
      <w:tr w:rsidR="00E13D3B" w:rsidRPr="004C75E0" w14:paraId="0C83D6B9" w14:textId="77777777" w:rsidTr="000A2C73">
        <w:tc>
          <w:tcPr>
            <w:cnfStyle w:val="001000000000" w:firstRow="0" w:lastRow="0" w:firstColumn="1" w:lastColumn="0" w:oddVBand="0" w:evenVBand="0" w:oddHBand="0" w:evenHBand="0" w:firstRowFirstColumn="0" w:firstRowLastColumn="0" w:lastRowFirstColumn="0" w:lastRowLastColumn="0"/>
            <w:tcW w:w="0" w:type="auto"/>
          </w:tcPr>
          <w:p w14:paraId="5728F97A" w14:textId="77777777" w:rsidR="00E13D3B" w:rsidRPr="004C75E0" w:rsidRDefault="00E13D3B" w:rsidP="00E54282">
            <w:pPr>
              <w:jc w:val="both"/>
              <w:rPr>
                <w:rFonts w:ascii="Times New Roman" w:hAnsi="Times New Roman" w:cs="Times New Roman"/>
                <w:color w:val="000000"/>
                <w:sz w:val="16"/>
                <w:szCs w:val="16"/>
              </w:rPr>
            </w:pPr>
            <w:r w:rsidRPr="004C75E0">
              <w:rPr>
                <w:rFonts w:ascii="Times New Roman" w:hAnsi="Times New Roman" w:cs="Times New Roman"/>
                <w:color w:val="000000"/>
                <w:sz w:val="16"/>
                <w:szCs w:val="16"/>
              </w:rPr>
              <w:t>Southern</w:t>
            </w:r>
          </w:p>
        </w:tc>
        <w:tc>
          <w:tcPr>
            <w:tcW w:w="0" w:type="auto"/>
          </w:tcPr>
          <w:p w14:paraId="59F7B4C1"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86.9</w:t>
            </w:r>
          </w:p>
        </w:tc>
        <w:tc>
          <w:tcPr>
            <w:tcW w:w="0" w:type="auto"/>
          </w:tcPr>
          <w:p w14:paraId="0EDE3E7C"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75.1</w:t>
            </w:r>
          </w:p>
        </w:tc>
        <w:tc>
          <w:tcPr>
            <w:tcW w:w="0" w:type="auto"/>
          </w:tcPr>
          <w:p w14:paraId="7F0FE3E0"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80.9</w:t>
            </w:r>
          </w:p>
        </w:tc>
        <w:tc>
          <w:tcPr>
            <w:tcW w:w="0" w:type="auto"/>
          </w:tcPr>
          <w:p w14:paraId="1FA5F77F"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91.4</w:t>
            </w:r>
          </w:p>
        </w:tc>
        <w:tc>
          <w:tcPr>
            <w:tcW w:w="0" w:type="auto"/>
          </w:tcPr>
          <w:p w14:paraId="3D148500"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90.8</w:t>
            </w:r>
          </w:p>
        </w:tc>
        <w:tc>
          <w:tcPr>
            <w:tcW w:w="0" w:type="auto"/>
          </w:tcPr>
          <w:p w14:paraId="573F1DE0"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91.1</w:t>
            </w:r>
          </w:p>
        </w:tc>
        <w:tc>
          <w:tcPr>
            <w:tcW w:w="0" w:type="auto"/>
          </w:tcPr>
          <w:p w14:paraId="2B6A0227"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10.2</w:t>
            </w:r>
          </w:p>
        </w:tc>
        <w:tc>
          <w:tcPr>
            <w:tcW w:w="0" w:type="auto"/>
          </w:tcPr>
          <w:p w14:paraId="1CE15B9A" w14:textId="77777777" w:rsidR="00E13D3B" w:rsidRPr="004C75E0" w:rsidRDefault="00E13D3B" w:rsidP="00E5428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8.9</w:t>
            </w:r>
          </w:p>
        </w:tc>
      </w:tr>
      <w:tr w:rsidR="00E13D3B" w:rsidRPr="004C75E0" w14:paraId="0C926811" w14:textId="77777777" w:rsidTr="000A2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8D13E64" w14:textId="77777777" w:rsidR="00E13D3B" w:rsidRPr="004C75E0" w:rsidRDefault="00E13D3B" w:rsidP="00E54282">
            <w:pPr>
              <w:jc w:val="both"/>
              <w:rPr>
                <w:rFonts w:ascii="Times New Roman" w:hAnsi="Times New Roman" w:cs="Times New Roman"/>
                <w:color w:val="000000"/>
                <w:sz w:val="16"/>
                <w:szCs w:val="16"/>
              </w:rPr>
            </w:pPr>
            <w:r w:rsidRPr="004C75E0">
              <w:rPr>
                <w:rFonts w:ascii="Times New Roman" w:hAnsi="Times New Roman" w:cs="Times New Roman"/>
                <w:color w:val="000000"/>
                <w:sz w:val="16"/>
                <w:szCs w:val="16"/>
              </w:rPr>
              <w:t>Western</w:t>
            </w:r>
          </w:p>
        </w:tc>
        <w:tc>
          <w:tcPr>
            <w:tcW w:w="0" w:type="auto"/>
          </w:tcPr>
          <w:p w14:paraId="4E534B3C"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66.7</w:t>
            </w:r>
          </w:p>
        </w:tc>
        <w:tc>
          <w:tcPr>
            <w:tcW w:w="0" w:type="auto"/>
          </w:tcPr>
          <w:p w14:paraId="6C7A0C85"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54.7</w:t>
            </w:r>
          </w:p>
        </w:tc>
        <w:tc>
          <w:tcPr>
            <w:tcW w:w="0" w:type="auto"/>
          </w:tcPr>
          <w:p w14:paraId="213F2E59"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60.7</w:t>
            </w:r>
          </w:p>
        </w:tc>
        <w:tc>
          <w:tcPr>
            <w:tcW w:w="0" w:type="auto"/>
          </w:tcPr>
          <w:p w14:paraId="0FE1D2B1"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84.5</w:t>
            </w:r>
          </w:p>
        </w:tc>
        <w:tc>
          <w:tcPr>
            <w:tcW w:w="0" w:type="auto"/>
          </w:tcPr>
          <w:p w14:paraId="655C9947"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81.0</w:t>
            </w:r>
          </w:p>
        </w:tc>
        <w:tc>
          <w:tcPr>
            <w:tcW w:w="0" w:type="auto"/>
          </w:tcPr>
          <w:p w14:paraId="2C7135DA"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82.8</w:t>
            </w:r>
          </w:p>
        </w:tc>
        <w:tc>
          <w:tcPr>
            <w:tcW w:w="0" w:type="auto"/>
          </w:tcPr>
          <w:p w14:paraId="0E2BA5BE"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22.1</w:t>
            </w:r>
          </w:p>
        </w:tc>
        <w:tc>
          <w:tcPr>
            <w:tcW w:w="0" w:type="auto"/>
          </w:tcPr>
          <w:p w14:paraId="3B8230AE" w14:textId="77777777" w:rsidR="00E13D3B" w:rsidRPr="004C75E0" w:rsidRDefault="00E13D3B" w:rsidP="00E5428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4C75E0">
              <w:rPr>
                <w:rFonts w:ascii="Times New Roman" w:hAnsi="Times New Roman" w:cs="Times New Roman"/>
                <w:color w:val="000000"/>
                <w:sz w:val="16"/>
                <w:szCs w:val="16"/>
              </w:rPr>
              <w:t>17.2</w:t>
            </w:r>
          </w:p>
        </w:tc>
      </w:tr>
    </w:tbl>
    <w:p w14:paraId="67AF1A62" w14:textId="77777777" w:rsidR="001E1EEB" w:rsidRPr="00AB070D" w:rsidRDefault="00E13D3B" w:rsidP="00AB070D">
      <w:pPr>
        <w:spacing w:line="360" w:lineRule="auto"/>
        <w:jc w:val="both"/>
        <w:rPr>
          <w:rFonts w:ascii="Times New Roman" w:hAnsi="Times New Roman" w:cs="Times New Roman"/>
          <w:color w:val="000000"/>
          <w:sz w:val="24"/>
          <w:szCs w:val="24"/>
          <w:lang w:val="en-US"/>
        </w:rPr>
      </w:pPr>
      <w:r w:rsidRPr="004C75E0">
        <w:rPr>
          <w:rFonts w:ascii="Times New Roman" w:hAnsi="Times New Roman" w:cs="Times New Roman"/>
          <w:b/>
          <w:color w:val="000000"/>
          <w:sz w:val="24"/>
          <w:szCs w:val="24"/>
          <w:u w:val="single"/>
          <w:lang w:val="en-US"/>
        </w:rPr>
        <w:t>Source</w:t>
      </w:r>
      <w:r w:rsidRPr="004C75E0">
        <w:rPr>
          <w:rFonts w:ascii="Times New Roman" w:hAnsi="Times New Roman" w:cs="Times New Roman"/>
          <w:b/>
          <w:color w:val="000000"/>
          <w:sz w:val="24"/>
          <w:szCs w:val="24"/>
          <w:lang w:val="en-US"/>
        </w:rPr>
        <w:t xml:space="preserve">: </w:t>
      </w:r>
      <w:r w:rsidRPr="004C75E0">
        <w:rPr>
          <w:rFonts w:ascii="Times New Roman" w:hAnsi="Times New Roman" w:cs="Times New Roman"/>
          <w:color w:val="000000"/>
          <w:sz w:val="24"/>
          <w:szCs w:val="24"/>
          <w:lang w:val="en-US"/>
        </w:rPr>
        <w:t>MOE, Ed</w:t>
      </w:r>
      <w:bookmarkStart w:id="29" w:name="_Toc432435867"/>
      <w:r w:rsidR="00AB070D">
        <w:rPr>
          <w:rFonts w:ascii="Times New Roman" w:hAnsi="Times New Roman" w:cs="Times New Roman"/>
          <w:color w:val="000000"/>
          <w:sz w:val="24"/>
          <w:szCs w:val="24"/>
          <w:lang w:val="en-US"/>
        </w:rPr>
        <w:t>ucational Statistics Bulletins.</w:t>
      </w:r>
    </w:p>
    <w:p w14:paraId="5CA39060" w14:textId="1A266C3E" w:rsidR="002E428A" w:rsidRPr="00277061" w:rsidRDefault="002E428A" w:rsidP="00277061">
      <w:pPr>
        <w:spacing w:line="360" w:lineRule="auto"/>
        <w:jc w:val="both"/>
        <w:rPr>
          <w:rFonts w:ascii="Times New Roman" w:hAnsi="Times New Roman" w:cs="Times New Roman"/>
          <w:lang w:val="en-US" w:eastAsia="en-GB"/>
        </w:rPr>
      </w:pPr>
      <w:r w:rsidRPr="00277061">
        <w:rPr>
          <w:rFonts w:ascii="Times New Roman" w:hAnsi="Times New Roman" w:cs="Times New Roman"/>
          <w:lang w:val="en-US" w:eastAsia="en-GB"/>
        </w:rPr>
        <w:t>On further investigation of data sets in Table 3.5, its becomes noticeable that  the probability of boys and girls not completing primary school remains high in the country- about 12 percent for boys and 17 percent for girls.  Overall, only 55 percent</w:t>
      </w:r>
      <w:r w:rsidR="00277061" w:rsidRPr="00277061">
        <w:rPr>
          <w:rFonts w:ascii="Times New Roman" w:hAnsi="Times New Roman" w:cs="Times New Roman"/>
          <w:lang w:val="en-US" w:eastAsia="en-GB"/>
        </w:rPr>
        <w:t xml:space="preserve"> of students who make it to the end of primary school continue into lower secondary school (Grade 8). This presents a major challenge in terms of providing complete basic education (Grades 1-9) to the children of Zambia (UNICEF, 2013).</w:t>
      </w:r>
    </w:p>
    <w:p w14:paraId="43940302" w14:textId="42ED6016" w:rsidR="00904444" w:rsidRPr="00277061" w:rsidRDefault="00F0538C" w:rsidP="00277061">
      <w:pPr>
        <w:spacing w:line="360" w:lineRule="auto"/>
        <w:jc w:val="both"/>
        <w:rPr>
          <w:rFonts w:ascii="Times New Roman" w:hAnsi="Times New Roman" w:cs="Times New Roman"/>
          <w:lang w:val="en-US" w:eastAsia="en-GB"/>
        </w:rPr>
      </w:pPr>
      <w:r w:rsidRPr="00277061">
        <w:rPr>
          <w:rFonts w:ascii="Times New Roman" w:hAnsi="Times New Roman" w:cs="Times New Roman"/>
          <w:lang w:val="en-US" w:eastAsia="en-GB"/>
        </w:rPr>
        <w:t xml:space="preserve">Often </w:t>
      </w:r>
      <w:r w:rsidR="00277061">
        <w:rPr>
          <w:rFonts w:ascii="Times New Roman" w:hAnsi="Times New Roman" w:cs="Times New Roman"/>
          <w:lang w:val="en-US" w:eastAsia="en-GB"/>
        </w:rPr>
        <w:t>neglected, also</w:t>
      </w:r>
      <w:r w:rsidRPr="00277061">
        <w:rPr>
          <w:rFonts w:ascii="Times New Roman" w:hAnsi="Times New Roman" w:cs="Times New Roman"/>
          <w:lang w:val="en-US" w:eastAsia="en-GB"/>
        </w:rPr>
        <w:t>, is the phenomenon</w:t>
      </w:r>
      <w:r w:rsidR="0005457C" w:rsidRPr="00277061">
        <w:rPr>
          <w:rFonts w:ascii="Times New Roman" w:hAnsi="Times New Roman" w:cs="Times New Roman"/>
          <w:lang w:val="en-US" w:eastAsia="en-GB"/>
        </w:rPr>
        <w:t xml:space="preserve"> of</w:t>
      </w:r>
      <w:r w:rsidRPr="00277061">
        <w:rPr>
          <w:rFonts w:ascii="Times New Roman" w:hAnsi="Times New Roman" w:cs="Times New Roman"/>
          <w:lang w:val="en-US" w:eastAsia="en-GB"/>
        </w:rPr>
        <w:t xml:space="preserve"> out-of-school-children in Zambia. School census data for 2014 shows that Zambia has 4.01 million students up to 18 years old enrolled in school from Grades 1 to 12.</w:t>
      </w:r>
      <w:r w:rsidR="0005457C" w:rsidRPr="00277061">
        <w:rPr>
          <w:rFonts w:ascii="Times New Roman" w:hAnsi="Times New Roman" w:cs="Times New Roman"/>
          <w:lang w:val="en-US" w:eastAsia="en-GB"/>
        </w:rPr>
        <w:t xml:space="preserve"> This number may actually be bigger since data from the Ministry of Education do not consider those over 18 years and still enrolled at school</w:t>
      </w:r>
      <w:r w:rsidR="0005457C" w:rsidRPr="00277061">
        <w:rPr>
          <w:rStyle w:val="FootnoteReference"/>
          <w:rFonts w:ascii="Times New Roman" w:hAnsi="Times New Roman" w:cs="Times New Roman"/>
          <w:lang w:val="en-US" w:eastAsia="en-GB"/>
        </w:rPr>
        <w:footnoteReference w:id="12"/>
      </w:r>
      <w:r w:rsidR="0005457C" w:rsidRPr="00277061">
        <w:rPr>
          <w:rFonts w:ascii="Times New Roman" w:hAnsi="Times New Roman" w:cs="Times New Roman"/>
          <w:lang w:val="en-US" w:eastAsia="en-GB"/>
        </w:rPr>
        <w:t>.</w:t>
      </w:r>
    </w:p>
    <w:p w14:paraId="49E0A534" w14:textId="7C28625F" w:rsidR="0005457C" w:rsidRPr="00277061" w:rsidRDefault="00277061" w:rsidP="00277061">
      <w:pPr>
        <w:spacing w:line="360" w:lineRule="auto"/>
        <w:jc w:val="both"/>
        <w:rPr>
          <w:rFonts w:ascii="Times New Roman" w:hAnsi="Times New Roman" w:cs="Times New Roman"/>
          <w:lang w:val="en-US" w:eastAsia="en-GB"/>
        </w:rPr>
      </w:pPr>
      <w:r>
        <w:rPr>
          <w:rFonts w:ascii="Times New Roman" w:hAnsi="Times New Roman" w:cs="Times New Roman"/>
          <w:lang w:val="en-US" w:eastAsia="en-GB"/>
        </w:rPr>
        <w:t>Therefore, d</w:t>
      </w:r>
      <w:r w:rsidR="0005457C" w:rsidRPr="00277061">
        <w:rPr>
          <w:rFonts w:ascii="Times New Roman" w:hAnsi="Times New Roman" w:cs="Times New Roman"/>
          <w:lang w:val="en-US" w:eastAsia="en-GB"/>
        </w:rPr>
        <w:t>espite progress over the last past years, the right to education is still far from being fully realised in the country.  Official country data shows a big number of out-of-school children who could be categorized into three complementary groups: (i) those who have never attended school; (ii) those who have entered school late (but at the time of the 2010 Census data collection were not yet enrolled); and (iii) those who at some point in time were at school, but for many different reasons, are not enrolled anymore- dropouts.</w:t>
      </w:r>
      <w:r w:rsidR="009E3991" w:rsidRPr="00277061">
        <w:rPr>
          <w:rFonts w:ascii="Times New Roman" w:hAnsi="Times New Roman" w:cs="Times New Roman"/>
          <w:lang w:val="en-US" w:eastAsia="en-GB"/>
        </w:rPr>
        <w:t xml:space="preserve"> Data from the 2010 Census shows 17 percent of the population between seven and eighteen years (considered the school-age population) have never attended sch</w:t>
      </w:r>
      <w:r>
        <w:rPr>
          <w:rFonts w:ascii="Times New Roman" w:hAnsi="Times New Roman" w:cs="Times New Roman"/>
          <w:lang w:val="en-US" w:eastAsia="en-GB"/>
        </w:rPr>
        <w:t>ool</w:t>
      </w:r>
      <w:r w:rsidR="009E3991" w:rsidRPr="00277061">
        <w:rPr>
          <w:rFonts w:ascii="Times New Roman" w:hAnsi="Times New Roman" w:cs="Times New Roman"/>
          <w:lang w:val="en-US" w:eastAsia="en-GB"/>
        </w:rPr>
        <w:t>. In absolute numbers, UNICEF (2014:134) reports that more than 630,000 children aged seven to eighteen have never had access to education in Zambia. As with other basic rights, rural areas are the most vulnerable and affected – 22 percent of children of school age in rural areas have never attended school</w:t>
      </w:r>
    </w:p>
    <w:p w14:paraId="204442AA" w14:textId="77777777" w:rsidR="00904444" w:rsidRDefault="00904444" w:rsidP="004816A1">
      <w:pPr>
        <w:pStyle w:val="Heading3"/>
        <w:rPr>
          <w:rFonts w:ascii="Times New Roman" w:hAnsi="Times New Roman" w:cs="Times New Roman"/>
          <w:highlight w:val="yellow"/>
          <w:lang w:val="en-US" w:eastAsia="en-GB"/>
        </w:rPr>
      </w:pPr>
    </w:p>
    <w:p w14:paraId="75BE2C8D" w14:textId="31D6C484" w:rsidR="00BF48B5" w:rsidRPr="00972C9A" w:rsidRDefault="004816A1" w:rsidP="004816A1">
      <w:pPr>
        <w:pStyle w:val="Heading3"/>
        <w:rPr>
          <w:rFonts w:ascii="Times New Roman" w:hAnsi="Times New Roman" w:cs="Times New Roman"/>
          <w:lang w:val="en-US" w:eastAsia="en-GB"/>
        </w:rPr>
      </w:pPr>
      <w:bookmarkStart w:id="30" w:name="_Toc458687355"/>
      <w:r w:rsidRPr="00972C9A">
        <w:rPr>
          <w:rFonts w:ascii="Times New Roman" w:hAnsi="Times New Roman" w:cs="Times New Roman"/>
          <w:lang w:val="en-US" w:eastAsia="en-GB"/>
        </w:rPr>
        <w:t>3.2.3</w:t>
      </w:r>
      <w:r w:rsidRPr="00972C9A">
        <w:rPr>
          <w:rFonts w:ascii="Times New Roman" w:hAnsi="Times New Roman" w:cs="Times New Roman"/>
          <w:lang w:val="en-US" w:eastAsia="en-GB"/>
        </w:rPr>
        <w:tab/>
      </w:r>
      <w:r w:rsidR="00AF3E96">
        <w:rPr>
          <w:rFonts w:ascii="Times New Roman" w:hAnsi="Times New Roman" w:cs="Times New Roman"/>
          <w:lang w:val="en-US" w:eastAsia="en-GB"/>
        </w:rPr>
        <w:t>Equitable Access to Appropriate Learning and Life S</w:t>
      </w:r>
      <w:r w:rsidR="00BF48B5" w:rsidRPr="00972C9A">
        <w:rPr>
          <w:rFonts w:ascii="Times New Roman" w:hAnsi="Times New Roman" w:cs="Times New Roman"/>
          <w:lang w:val="en-US" w:eastAsia="en-GB"/>
        </w:rPr>
        <w:t>kills</w:t>
      </w:r>
      <w:r w:rsidR="00AB070D" w:rsidRPr="00972C9A">
        <w:rPr>
          <w:rFonts w:ascii="Times New Roman" w:hAnsi="Times New Roman" w:cs="Times New Roman"/>
          <w:lang w:val="en-US" w:eastAsia="en-GB"/>
        </w:rPr>
        <w:t xml:space="preserve"> </w:t>
      </w:r>
      <w:r w:rsidR="00AF3E96">
        <w:rPr>
          <w:rFonts w:ascii="Times New Roman" w:hAnsi="Times New Roman" w:cs="Times New Roman"/>
          <w:lang w:val="en-US" w:eastAsia="en-GB"/>
        </w:rPr>
        <w:t>of all Young P</w:t>
      </w:r>
      <w:r w:rsidR="009F49ED" w:rsidRPr="00972C9A">
        <w:rPr>
          <w:rFonts w:ascii="Times New Roman" w:hAnsi="Times New Roman" w:cs="Times New Roman"/>
          <w:lang w:val="en-US" w:eastAsia="en-GB"/>
        </w:rPr>
        <w:t>eople</w:t>
      </w:r>
      <w:bookmarkEnd w:id="30"/>
    </w:p>
    <w:p w14:paraId="1BC0114A" w14:textId="77777777" w:rsidR="00BF48B5" w:rsidRPr="004C75E0" w:rsidRDefault="00BF48B5" w:rsidP="004816A1">
      <w:pPr>
        <w:pStyle w:val="Heading3"/>
        <w:rPr>
          <w:rFonts w:ascii="Times New Roman" w:hAnsi="Times New Roman" w:cs="Times New Roman"/>
          <w:b/>
        </w:rPr>
      </w:pPr>
    </w:p>
    <w:bookmarkEnd w:id="29"/>
    <w:p w14:paraId="10709877" w14:textId="427B476B" w:rsidR="00972C9A" w:rsidRPr="004C75E0" w:rsidRDefault="00E13D3B" w:rsidP="001C7505">
      <w:pPr>
        <w:spacing w:line="360" w:lineRule="auto"/>
        <w:jc w:val="both"/>
        <w:rPr>
          <w:rFonts w:ascii="Times New Roman" w:hAnsi="Times New Roman" w:cs="Times New Roman"/>
          <w:sz w:val="24"/>
          <w:szCs w:val="24"/>
          <w:lang w:val="en-US"/>
        </w:rPr>
      </w:pPr>
      <w:r w:rsidRPr="004C75E0">
        <w:rPr>
          <w:rFonts w:ascii="Times New Roman" w:hAnsi="Times New Roman" w:cs="Times New Roman"/>
          <w:sz w:val="24"/>
          <w:szCs w:val="24"/>
          <w:lang w:val="en-US"/>
        </w:rPr>
        <w:t>Zambia’s youth literacy rates have generally risen above 85 percent in the pe</w:t>
      </w:r>
      <w:r w:rsidR="001C7505" w:rsidRPr="004C75E0">
        <w:rPr>
          <w:rFonts w:ascii="Times New Roman" w:hAnsi="Times New Roman" w:cs="Times New Roman"/>
          <w:sz w:val="24"/>
          <w:szCs w:val="24"/>
          <w:lang w:val="en-US"/>
        </w:rPr>
        <w:t>riod 1990 to 2014 (</w:t>
      </w:r>
      <w:r w:rsidR="00277061" w:rsidRPr="00277061">
        <w:rPr>
          <w:rFonts w:ascii="Times New Roman" w:hAnsi="Times New Roman" w:cs="Times New Roman"/>
          <w:sz w:val="24"/>
          <w:szCs w:val="24"/>
          <w:lang w:val="en-US"/>
        </w:rPr>
        <w:t>Figure 3.5</w:t>
      </w:r>
      <w:r w:rsidR="001C7505" w:rsidRPr="004C75E0">
        <w:rPr>
          <w:rFonts w:ascii="Times New Roman" w:hAnsi="Times New Roman" w:cs="Times New Roman"/>
          <w:sz w:val="24"/>
          <w:szCs w:val="24"/>
          <w:lang w:val="en-US"/>
        </w:rPr>
        <w:t>).</w:t>
      </w:r>
    </w:p>
    <w:p w14:paraId="4A95BBCC" w14:textId="6D50F1D2" w:rsidR="00E13D3B" w:rsidRPr="004C75E0" w:rsidRDefault="00E13D3B" w:rsidP="00A60BD4">
      <w:pPr>
        <w:spacing w:after="0" w:line="360" w:lineRule="auto"/>
        <w:rPr>
          <w:rFonts w:ascii="Times New Roman" w:hAnsi="Times New Roman" w:cs="Times New Roman"/>
          <w:b/>
          <w:sz w:val="24"/>
          <w:szCs w:val="24"/>
          <w:lang w:val="en-US"/>
        </w:rPr>
      </w:pPr>
      <w:r w:rsidRPr="004C75E0">
        <w:rPr>
          <w:rFonts w:ascii="Times New Roman" w:hAnsi="Times New Roman" w:cs="Times New Roman"/>
          <w:b/>
          <w:sz w:val="24"/>
          <w:szCs w:val="24"/>
          <w:lang w:val="en-US"/>
        </w:rPr>
        <w:t xml:space="preserve">Figure </w:t>
      </w:r>
      <w:r w:rsidR="00277061" w:rsidRPr="00277061">
        <w:rPr>
          <w:rFonts w:ascii="Times New Roman" w:hAnsi="Times New Roman" w:cs="Times New Roman"/>
          <w:b/>
          <w:sz w:val="24"/>
          <w:szCs w:val="24"/>
          <w:lang w:val="en-US"/>
        </w:rPr>
        <w:t>3.5</w:t>
      </w:r>
      <w:r w:rsidRPr="004C75E0">
        <w:rPr>
          <w:rFonts w:ascii="Times New Roman" w:hAnsi="Times New Roman" w:cs="Times New Roman"/>
          <w:b/>
          <w:sz w:val="24"/>
          <w:szCs w:val="24"/>
          <w:lang w:val="en-US"/>
        </w:rPr>
        <w:t>: Progress in Youth literacy, 1990-2010</w:t>
      </w:r>
    </w:p>
    <w:p w14:paraId="6D5269E5" w14:textId="77777777" w:rsidR="00E13D3B" w:rsidRPr="004C75E0" w:rsidRDefault="00E13D3B" w:rsidP="00A60BD4">
      <w:pPr>
        <w:spacing w:after="0" w:line="360" w:lineRule="auto"/>
        <w:rPr>
          <w:rFonts w:ascii="Times New Roman" w:hAnsi="Times New Roman" w:cs="Times New Roman"/>
          <w:sz w:val="24"/>
          <w:szCs w:val="24"/>
          <w:lang w:val="en-US"/>
        </w:rPr>
      </w:pPr>
      <w:r w:rsidRPr="004C75E0">
        <w:rPr>
          <w:rFonts w:ascii="Times New Roman" w:hAnsi="Times New Roman" w:cs="Times New Roman"/>
          <w:noProof/>
          <w:lang w:val="en-US"/>
        </w:rPr>
        <w:drawing>
          <wp:inline distT="0" distB="0" distL="0" distR="0" wp14:anchorId="1794D2F3" wp14:editId="436D6C79">
            <wp:extent cx="5638800" cy="2409825"/>
            <wp:effectExtent l="0" t="0" r="0" b="952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DB56431" w14:textId="78B14E9B" w:rsidR="00E13D3B" w:rsidRPr="004C75E0" w:rsidRDefault="00E13D3B" w:rsidP="00A60BD4">
      <w:pPr>
        <w:spacing w:after="0" w:line="360" w:lineRule="auto"/>
        <w:rPr>
          <w:rFonts w:ascii="Times New Roman" w:hAnsi="Times New Roman" w:cs="Times New Roman"/>
          <w:sz w:val="24"/>
          <w:szCs w:val="24"/>
          <w:lang w:val="en-US"/>
        </w:rPr>
      </w:pPr>
      <w:r w:rsidRPr="004C75E0">
        <w:rPr>
          <w:rFonts w:ascii="Times New Roman" w:hAnsi="Times New Roman" w:cs="Times New Roman"/>
          <w:b/>
          <w:sz w:val="24"/>
          <w:szCs w:val="24"/>
          <w:u w:val="single"/>
          <w:lang w:val="en-US"/>
        </w:rPr>
        <w:t>Source</w:t>
      </w:r>
      <w:r w:rsidR="00277061">
        <w:rPr>
          <w:rFonts w:ascii="Times New Roman" w:hAnsi="Times New Roman" w:cs="Times New Roman"/>
          <w:sz w:val="24"/>
          <w:szCs w:val="24"/>
          <w:lang w:val="en-US"/>
        </w:rPr>
        <w:t>: MDG Progress R</w:t>
      </w:r>
      <w:r w:rsidRPr="004C75E0">
        <w:rPr>
          <w:rFonts w:ascii="Times New Roman" w:hAnsi="Times New Roman" w:cs="Times New Roman"/>
          <w:sz w:val="24"/>
          <w:szCs w:val="24"/>
          <w:lang w:val="en-US"/>
        </w:rPr>
        <w:t>eport (2013).</w:t>
      </w:r>
    </w:p>
    <w:p w14:paraId="02D151CB" w14:textId="77777777" w:rsidR="00EF7252" w:rsidRDefault="00EF7252" w:rsidP="00A60BD4">
      <w:pPr>
        <w:spacing w:line="360" w:lineRule="auto"/>
        <w:jc w:val="both"/>
        <w:rPr>
          <w:rFonts w:ascii="Times New Roman" w:hAnsi="Times New Roman" w:cs="Times New Roman"/>
          <w:sz w:val="24"/>
          <w:szCs w:val="24"/>
          <w:lang w:val="en-US"/>
        </w:rPr>
      </w:pPr>
    </w:p>
    <w:p w14:paraId="333B8FBF" w14:textId="77777777" w:rsidR="00E13D3B" w:rsidRPr="004C75E0" w:rsidRDefault="00E13D3B" w:rsidP="00A60BD4">
      <w:pPr>
        <w:spacing w:line="360" w:lineRule="auto"/>
        <w:jc w:val="both"/>
        <w:rPr>
          <w:rFonts w:ascii="Times New Roman" w:hAnsi="Times New Roman" w:cs="Times New Roman"/>
          <w:sz w:val="24"/>
          <w:szCs w:val="24"/>
          <w:lang w:val="en-US"/>
        </w:rPr>
      </w:pPr>
      <w:r w:rsidRPr="004C75E0">
        <w:rPr>
          <w:rFonts w:ascii="Times New Roman" w:hAnsi="Times New Roman" w:cs="Times New Roman"/>
          <w:sz w:val="24"/>
          <w:szCs w:val="24"/>
          <w:lang w:val="en-US"/>
        </w:rPr>
        <w:t>At national level, youth literacy was 88.7 percent in 2010. This was an increase from 70</w:t>
      </w:r>
      <w:r w:rsidR="00EF7252">
        <w:rPr>
          <w:rFonts w:ascii="Times New Roman" w:hAnsi="Times New Roman" w:cs="Times New Roman"/>
          <w:sz w:val="24"/>
          <w:szCs w:val="24"/>
          <w:lang w:val="en-US"/>
        </w:rPr>
        <w:t xml:space="preserve">.1 percent in 2000. Between </w:t>
      </w:r>
      <w:r w:rsidRPr="004C75E0">
        <w:rPr>
          <w:rFonts w:ascii="Times New Roman" w:hAnsi="Times New Roman" w:cs="Times New Roman"/>
          <w:sz w:val="24"/>
          <w:szCs w:val="24"/>
          <w:lang w:val="en-US"/>
        </w:rPr>
        <w:t>2000 and 2010 the male and female literacy rate increased by 15.8 percentage points for males and 21.0 perc</w:t>
      </w:r>
      <w:r w:rsidR="00EF7252">
        <w:rPr>
          <w:rFonts w:ascii="Times New Roman" w:hAnsi="Times New Roman" w:cs="Times New Roman"/>
          <w:sz w:val="24"/>
          <w:szCs w:val="24"/>
          <w:lang w:val="en-US"/>
        </w:rPr>
        <w:t>entage points for females. The y</w:t>
      </w:r>
      <w:r w:rsidRPr="004C75E0">
        <w:rPr>
          <w:rFonts w:ascii="Times New Roman" w:hAnsi="Times New Roman" w:cs="Times New Roman"/>
          <w:sz w:val="24"/>
          <w:szCs w:val="24"/>
          <w:lang w:val="en-US"/>
        </w:rPr>
        <w:t>outh literacy rate for both rural and urban areas increased between 2000 and 2010. It increased from 59.5 percent in 2000 to 82.5 percent in 2010 for rural areas and from 86.5 percent in 2000 to 96.5 percent for urban areas (CSO, 2012:25).</w:t>
      </w:r>
    </w:p>
    <w:p w14:paraId="0F06524E" w14:textId="359B71E4" w:rsidR="00E13D3B" w:rsidRPr="004C75E0" w:rsidRDefault="00E13D3B" w:rsidP="00A60BD4">
      <w:pPr>
        <w:spacing w:line="360" w:lineRule="auto"/>
        <w:jc w:val="both"/>
        <w:rPr>
          <w:rFonts w:ascii="Times New Roman" w:hAnsi="Times New Roman" w:cs="Times New Roman"/>
          <w:sz w:val="24"/>
          <w:szCs w:val="24"/>
          <w:lang w:val="en-US"/>
        </w:rPr>
      </w:pPr>
      <w:r w:rsidRPr="004C75E0">
        <w:rPr>
          <w:rFonts w:ascii="Times New Roman" w:hAnsi="Times New Roman" w:cs="Times New Roman"/>
          <w:sz w:val="24"/>
          <w:szCs w:val="24"/>
          <w:lang w:val="en-US"/>
        </w:rPr>
        <w:t>Despite the rising trend, progress towards the</w:t>
      </w:r>
      <w:r w:rsidR="00EF7252">
        <w:rPr>
          <w:rFonts w:ascii="Times New Roman" w:hAnsi="Times New Roman" w:cs="Times New Roman"/>
          <w:sz w:val="24"/>
          <w:szCs w:val="24"/>
          <w:lang w:val="en-US"/>
        </w:rPr>
        <w:t xml:space="preserve"> EFA/</w:t>
      </w:r>
      <w:r w:rsidR="00972C9A">
        <w:rPr>
          <w:rFonts w:ascii="Times New Roman" w:hAnsi="Times New Roman" w:cs="Times New Roman"/>
          <w:sz w:val="24"/>
          <w:szCs w:val="24"/>
          <w:lang w:val="en-US"/>
        </w:rPr>
        <w:t xml:space="preserve"> MDG target appears slow. A</w:t>
      </w:r>
      <w:r w:rsidRPr="004C75E0">
        <w:rPr>
          <w:rFonts w:ascii="Times New Roman" w:hAnsi="Times New Roman" w:cs="Times New Roman"/>
          <w:sz w:val="24"/>
          <w:szCs w:val="24"/>
          <w:lang w:val="en-US"/>
        </w:rPr>
        <w:t>n equal concern is the gender inequity in literacy rates, as girls s</w:t>
      </w:r>
      <w:r w:rsidR="00BB12D5">
        <w:rPr>
          <w:rFonts w:ascii="Times New Roman" w:hAnsi="Times New Roman" w:cs="Times New Roman"/>
          <w:sz w:val="24"/>
          <w:szCs w:val="24"/>
          <w:lang w:val="en-US"/>
        </w:rPr>
        <w:t>till lag behind (Figure 3.5). As seen in Figure 3.5</w:t>
      </w:r>
      <w:r w:rsidRPr="004C75E0">
        <w:rPr>
          <w:rFonts w:ascii="Times New Roman" w:hAnsi="Times New Roman" w:cs="Times New Roman"/>
          <w:sz w:val="24"/>
          <w:szCs w:val="24"/>
          <w:lang w:val="en-US"/>
        </w:rPr>
        <w:t xml:space="preserve">, the pattern for youth literacy between the sexes remains the same, with males surpassing those of females in all the years for which data was available. </w:t>
      </w:r>
      <w:r w:rsidRPr="006C1CE1">
        <w:rPr>
          <w:rFonts w:ascii="Times New Roman" w:hAnsi="Times New Roman" w:cs="Times New Roman"/>
          <w:sz w:val="24"/>
          <w:szCs w:val="24"/>
          <w:lang w:val="en-US"/>
        </w:rPr>
        <w:t>This pattern may reflect the need for policies to improve youth literacy rates among women particularly.</w:t>
      </w:r>
      <w:r w:rsidR="00EF7252" w:rsidRPr="006C1CE1">
        <w:rPr>
          <w:rFonts w:ascii="Times New Roman" w:hAnsi="Times New Roman" w:cs="Times New Roman"/>
          <w:sz w:val="24"/>
          <w:szCs w:val="24"/>
          <w:lang w:val="en-US"/>
        </w:rPr>
        <w:t xml:space="preserve"> Overall, available data points to an existing skills gap that requires redressing beyond 2015</w:t>
      </w:r>
    </w:p>
    <w:p w14:paraId="3953B28B" w14:textId="023187D0" w:rsidR="00972C9A" w:rsidRPr="004C75E0" w:rsidRDefault="00E13D3B" w:rsidP="00A60BD4">
      <w:pPr>
        <w:spacing w:line="360" w:lineRule="auto"/>
        <w:jc w:val="both"/>
        <w:rPr>
          <w:rFonts w:ascii="Times New Roman" w:hAnsi="Times New Roman" w:cs="Times New Roman"/>
          <w:color w:val="000000"/>
          <w:sz w:val="24"/>
          <w:szCs w:val="24"/>
          <w:lang w:val="en-US"/>
        </w:rPr>
      </w:pPr>
      <w:r w:rsidRPr="004C75E0">
        <w:rPr>
          <w:rFonts w:ascii="Times New Roman" w:hAnsi="Times New Roman" w:cs="Times New Roman"/>
          <w:color w:val="000000"/>
          <w:sz w:val="24"/>
          <w:szCs w:val="24"/>
          <w:lang w:val="en-US"/>
        </w:rPr>
        <w:t>Sub-national trends in youth literacy rates for the twenty-year period from 1990 to 2</w:t>
      </w:r>
      <w:r w:rsidR="006C1CE1">
        <w:rPr>
          <w:rFonts w:ascii="Times New Roman" w:hAnsi="Times New Roman" w:cs="Times New Roman"/>
          <w:color w:val="000000"/>
          <w:sz w:val="24"/>
          <w:szCs w:val="24"/>
          <w:lang w:val="en-US"/>
        </w:rPr>
        <w:t>014 are illustrated in Table 3.6</w:t>
      </w:r>
      <w:r w:rsidRPr="004C75E0">
        <w:rPr>
          <w:rFonts w:ascii="Times New Roman" w:hAnsi="Times New Roman" w:cs="Times New Roman"/>
          <w:color w:val="000000"/>
          <w:sz w:val="24"/>
          <w:szCs w:val="24"/>
          <w:lang w:val="en-US"/>
        </w:rPr>
        <w:t>. In this period, the aggregate youth literacy rate for Zambia rose by 11.3 percentage points, rising from 74.9 percent in 1990 to 88.7 percent in 2014. Three provinces had youth literacy rates of 90 percent and above in 2010. These are Copperbelt (96.6 percent) Lusaka (96.1), and Southern province (91.3). These are all predominantly urban provinces. Youth literacy gap is therefore largest between young people who live in urban areas and those in rural areas (the rates being respectively 96.6 percent and 82.3 percent).</w:t>
      </w:r>
    </w:p>
    <w:p w14:paraId="5AF53F02" w14:textId="01751E7D" w:rsidR="00E13D3B" w:rsidRPr="00893C5F" w:rsidRDefault="006C1CE1" w:rsidP="00893C5F">
      <w:pPr>
        <w:pStyle w:val="NoSpacing"/>
        <w:rPr>
          <w:rFonts w:ascii="Times New Roman" w:hAnsi="Times New Roman" w:cs="Times New Roman"/>
          <w:b/>
        </w:rPr>
      </w:pPr>
      <w:r>
        <w:rPr>
          <w:rFonts w:ascii="Times New Roman" w:hAnsi="Times New Roman" w:cs="Times New Roman"/>
          <w:b/>
        </w:rPr>
        <w:t>Table 3.6</w:t>
      </w:r>
      <w:r w:rsidR="00E13D3B" w:rsidRPr="00893C5F">
        <w:rPr>
          <w:rFonts w:ascii="Times New Roman" w:hAnsi="Times New Roman" w:cs="Times New Roman"/>
          <w:b/>
        </w:rPr>
        <w:t>: Changes in Literacy Rates (%) by Province, 1990-2010</w:t>
      </w:r>
    </w:p>
    <w:tbl>
      <w:tblPr>
        <w:tblStyle w:val="PlainTable210"/>
        <w:tblW w:w="9026" w:type="dxa"/>
        <w:tblLook w:val="04A0" w:firstRow="1" w:lastRow="0" w:firstColumn="1" w:lastColumn="0" w:noHBand="0" w:noVBand="1"/>
      </w:tblPr>
      <w:tblGrid>
        <w:gridCol w:w="1585"/>
        <w:gridCol w:w="1186"/>
        <w:gridCol w:w="1186"/>
        <w:gridCol w:w="2083"/>
        <w:gridCol w:w="2986"/>
      </w:tblGrid>
      <w:tr w:rsidR="00E13D3B" w:rsidRPr="00893C5F" w14:paraId="27C59897" w14:textId="77777777" w:rsidTr="000A2C73">
        <w:trPr>
          <w:cnfStyle w:val="100000000000" w:firstRow="1" w:lastRow="0" w:firstColumn="0" w:lastColumn="0" w:oddVBand="0" w:evenVBand="0" w:oddHBand="0" w:evenHBand="0" w:firstRowFirstColumn="0" w:firstRowLastColumn="0" w:lastRowFirstColumn="0" w:lastRowLastColumn="0"/>
          <w:trHeight w:val="746"/>
        </w:trPr>
        <w:tc>
          <w:tcPr>
            <w:cnfStyle w:val="001000000000" w:firstRow="0" w:lastRow="0" w:firstColumn="1" w:lastColumn="0" w:oddVBand="0" w:evenVBand="0" w:oddHBand="0" w:evenHBand="0" w:firstRowFirstColumn="0" w:firstRowLastColumn="0" w:lastRowFirstColumn="0" w:lastRowLastColumn="0"/>
            <w:tcW w:w="1585" w:type="dxa"/>
            <w:hideMark/>
          </w:tcPr>
          <w:p w14:paraId="0D7F2418" w14:textId="77777777" w:rsidR="00E13D3B" w:rsidRPr="00893C5F" w:rsidRDefault="00E13D3B" w:rsidP="00893C5F">
            <w:pPr>
              <w:pStyle w:val="NoSpacing"/>
              <w:rPr>
                <w:sz w:val="16"/>
                <w:szCs w:val="16"/>
                <w:lang w:eastAsia="en-GB"/>
              </w:rPr>
            </w:pPr>
            <w:r w:rsidRPr="00893C5F">
              <w:rPr>
                <w:sz w:val="16"/>
                <w:szCs w:val="16"/>
                <w:lang w:eastAsia="en-GB"/>
              </w:rPr>
              <w:t> </w:t>
            </w:r>
          </w:p>
        </w:tc>
        <w:tc>
          <w:tcPr>
            <w:tcW w:w="1186" w:type="dxa"/>
            <w:hideMark/>
          </w:tcPr>
          <w:p w14:paraId="61986391" w14:textId="77777777" w:rsidR="00E13D3B" w:rsidRPr="00893C5F" w:rsidRDefault="00E13D3B" w:rsidP="00893C5F">
            <w:pPr>
              <w:pStyle w:val="NoSpacing"/>
              <w:cnfStyle w:val="100000000000" w:firstRow="1"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1990</w:t>
            </w:r>
          </w:p>
        </w:tc>
        <w:tc>
          <w:tcPr>
            <w:tcW w:w="1186" w:type="dxa"/>
            <w:hideMark/>
          </w:tcPr>
          <w:p w14:paraId="2E308A05" w14:textId="77777777" w:rsidR="00E13D3B" w:rsidRPr="00893C5F" w:rsidRDefault="00E13D3B" w:rsidP="00893C5F">
            <w:pPr>
              <w:pStyle w:val="NoSpacing"/>
              <w:cnfStyle w:val="100000000000" w:firstRow="1"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2010</w:t>
            </w:r>
          </w:p>
        </w:tc>
        <w:tc>
          <w:tcPr>
            <w:tcW w:w="2083" w:type="dxa"/>
            <w:hideMark/>
          </w:tcPr>
          <w:p w14:paraId="172B9B37" w14:textId="77777777" w:rsidR="00E13D3B" w:rsidRPr="00893C5F" w:rsidRDefault="00E13D3B" w:rsidP="00893C5F">
            <w:pPr>
              <w:pStyle w:val="NoSpacing"/>
              <w:cnfStyle w:val="100000000000" w:firstRow="1"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 xml:space="preserve">Total </w:t>
            </w:r>
          </w:p>
          <w:p w14:paraId="7EEE45B3" w14:textId="77777777" w:rsidR="00E13D3B" w:rsidRPr="00893C5F" w:rsidRDefault="00E13D3B" w:rsidP="00893C5F">
            <w:pPr>
              <w:pStyle w:val="NoSpacing"/>
              <w:cnfStyle w:val="100000000000" w:firstRow="1"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 xml:space="preserve">percentage gains/loss </w:t>
            </w:r>
          </w:p>
          <w:p w14:paraId="15F4D120" w14:textId="77777777" w:rsidR="00E13D3B" w:rsidRPr="00893C5F" w:rsidRDefault="00E13D3B" w:rsidP="00893C5F">
            <w:pPr>
              <w:pStyle w:val="NoSpacing"/>
              <w:cnfStyle w:val="100000000000" w:firstRow="1"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1990-2010</w:t>
            </w:r>
          </w:p>
        </w:tc>
        <w:tc>
          <w:tcPr>
            <w:tcW w:w="2986" w:type="dxa"/>
            <w:hideMark/>
          </w:tcPr>
          <w:p w14:paraId="6C077E15" w14:textId="77777777" w:rsidR="00E13D3B" w:rsidRPr="00893C5F" w:rsidRDefault="00E13D3B" w:rsidP="00893C5F">
            <w:pPr>
              <w:pStyle w:val="NoSpacing"/>
              <w:cnfStyle w:val="100000000000" w:firstRow="1"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 xml:space="preserve">Total </w:t>
            </w:r>
          </w:p>
          <w:p w14:paraId="767CD413" w14:textId="77777777" w:rsidR="00E13D3B" w:rsidRPr="00893C5F" w:rsidRDefault="00E13D3B" w:rsidP="00893C5F">
            <w:pPr>
              <w:pStyle w:val="NoSpacing"/>
              <w:cnfStyle w:val="100000000000" w:firstRow="1"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 xml:space="preserve">percentage </w:t>
            </w:r>
          </w:p>
          <w:p w14:paraId="2DE0E533" w14:textId="77777777" w:rsidR="00E13D3B" w:rsidRPr="00893C5F" w:rsidRDefault="00E13D3B" w:rsidP="00893C5F">
            <w:pPr>
              <w:pStyle w:val="NoSpacing"/>
              <w:cnfStyle w:val="100000000000" w:firstRow="1"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point gap to MDG target of 100</w:t>
            </w:r>
          </w:p>
        </w:tc>
      </w:tr>
      <w:tr w:rsidR="00E13D3B" w:rsidRPr="00893C5F" w14:paraId="07CF5979" w14:textId="77777777" w:rsidTr="000A2C7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85" w:type="dxa"/>
            <w:hideMark/>
          </w:tcPr>
          <w:p w14:paraId="627BA222" w14:textId="77777777" w:rsidR="00E13D3B" w:rsidRPr="00893C5F" w:rsidRDefault="00E13D3B" w:rsidP="00893C5F">
            <w:pPr>
              <w:pStyle w:val="NoSpacing"/>
              <w:rPr>
                <w:sz w:val="16"/>
                <w:szCs w:val="16"/>
                <w:lang w:eastAsia="en-GB"/>
              </w:rPr>
            </w:pPr>
            <w:r w:rsidRPr="00893C5F">
              <w:rPr>
                <w:sz w:val="16"/>
                <w:szCs w:val="16"/>
                <w:lang w:eastAsia="en-GB"/>
              </w:rPr>
              <w:t>Central</w:t>
            </w:r>
          </w:p>
        </w:tc>
        <w:tc>
          <w:tcPr>
            <w:tcW w:w="1186" w:type="dxa"/>
            <w:hideMark/>
          </w:tcPr>
          <w:p w14:paraId="3C07E4EB"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74.8</w:t>
            </w:r>
          </w:p>
        </w:tc>
        <w:tc>
          <w:tcPr>
            <w:tcW w:w="1186" w:type="dxa"/>
            <w:hideMark/>
          </w:tcPr>
          <w:p w14:paraId="15E5DACC"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89.7</w:t>
            </w:r>
          </w:p>
        </w:tc>
        <w:tc>
          <w:tcPr>
            <w:tcW w:w="2083" w:type="dxa"/>
            <w:hideMark/>
          </w:tcPr>
          <w:p w14:paraId="2E078C44"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14.9</w:t>
            </w:r>
          </w:p>
        </w:tc>
        <w:tc>
          <w:tcPr>
            <w:tcW w:w="2986" w:type="dxa"/>
            <w:hideMark/>
          </w:tcPr>
          <w:p w14:paraId="729CE378"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10.3</w:t>
            </w:r>
          </w:p>
        </w:tc>
      </w:tr>
      <w:tr w:rsidR="00E13D3B" w:rsidRPr="00893C5F" w14:paraId="77578CDD" w14:textId="77777777" w:rsidTr="000A2C73">
        <w:trPr>
          <w:trHeight w:val="435"/>
        </w:trPr>
        <w:tc>
          <w:tcPr>
            <w:cnfStyle w:val="001000000000" w:firstRow="0" w:lastRow="0" w:firstColumn="1" w:lastColumn="0" w:oddVBand="0" w:evenVBand="0" w:oddHBand="0" w:evenHBand="0" w:firstRowFirstColumn="0" w:firstRowLastColumn="0" w:lastRowFirstColumn="0" w:lastRowLastColumn="0"/>
            <w:tcW w:w="1585" w:type="dxa"/>
            <w:hideMark/>
          </w:tcPr>
          <w:p w14:paraId="38A83992" w14:textId="77777777" w:rsidR="00E13D3B" w:rsidRPr="00893C5F" w:rsidRDefault="00E13D3B" w:rsidP="00893C5F">
            <w:pPr>
              <w:pStyle w:val="NoSpacing"/>
              <w:rPr>
                <w:sz w:val="16"/>
                <w:szCs w:val="16"/>
                <w:lang w:eastAsia="en-GB"/>
              </w:rPr>
            </w:pPr>
            <w:r w:rsidRPr="00893C5F">
              <w:rPr>
                <w:sz w:val="16"/>
                <w:szCs w:val="16"/>
                <w:lang w:eastAsia="en-GB"/>
              </w:rPr>
              <w:t>Copperbelt</w:t>
            </w:r>
          </w:p>
        </w:tc>
        <w:tc>
          <w:tcPr>
            <w:tcW w:w="1186" w:type="dxa"/>
            <w:hideMark/>
          </w:tcPr>
          <w:p w14:paraId="28B55BE0"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88.2</w:t>
            </w:r>
          </w:p>
        </w:tc>
        <w:tc>
          <w:tcPr>
            <w:tcW w:w="1186" w:type="dxa"/>
            <w:hideMark/>
          </w:tcPr>
          <w:p w14:paraId="50925EF0"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96.6</w:t>
            </w:r>
          </w:p>
        </w:tc>
        <w:tc>
          <w:tcPr>
            <w:tcW w:w="2083" w:type="dxa"/>
            <w:hideMark/>
          </w:tcPr>
          <w:p w14:paraId="1A5110BB"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8.4</w:t>
            </w:r>
          </w:p>
        </w:tc>
        <w:tc>
          <w:tcPr>
            <w:tcW w:w="2986" w:type="dxa"/>
            <w:hideMark/>
          </w:tcPr>
          <w:p w14:paraId="32FB8CDB"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3.4</w:t>
            </w:r>
          </w:p>
        </w:tc>
      </w:tr>
      <w:tr w:rsidR="00E13D3B" w:rsidRPr="00893C5F" w14:paraId="3438140E" w14:textId="77777777" w:rsidTr="000A2C7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85" w:type="dxa"/>
            <w:hideMark/>
          </w:tcPr>
          <w:p w14:paraId="74C3FC48" w14:textId="77777777" w:rsidR="00E13D3B" w:rsidRPr="00893C5F" w:rsidRDefault="00E13D3B" w:rsidP="00893C5F">
            <w:pPr>
              <w:pStyle w:val="NoSpacing"/>
              <w:rPr>
                <w:sz w:val="16"/>
                <w:szCs w:val="16"/>
                <w:lang w:eastAsia="en-GB"/>
              </w:rPr>
            </w:pPr>
            <w:r w:rsidRPr="00893C5F">
              <w:rPr>
                <w:sz w:val="16"/>
                <w:szCs w:val="16"/>
                <w:lang w:eastAsia="en-GB"/>
              </w:rPr>
              <w:t>Eastern</w:t>
            </w:r>
          </w:p>
        </w:tc>
        <w:tc>
          <w:tcPr>
            <w:tcW w:w="1186" w:type="dxa"/>
            <w:hideMark/>
          </w:tcPr>
          <w:p w14:paraId="1DB25C0E"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54.2</w:t>
            </w:r>
          </w:p>
        </w:tc>
        <w:tc>
          <w:tcPr>
            <w:tcW w:w="1186" w:type="dxa"/>
            <w:hideMark/>
          </w:tcPr>
          <w:p w14:paraId="5E824F57"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75.2</w:t>
            </w:r>
          </w:p>
        </w:tc>
        <w:tc>
          <w:tcPr>
            <w:tcW w:w="2083" w:type="dxa"/>
            <w:hideMark/>
          </w:tcPr>
          <w:p w14:paraId="482A96AB"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21</w:t>
            </w:r>
          </w:p>
        </w:tc>
        <w:tc>
          <w:tcPr>
            <w:tcW w:w="2986" w:type="dxa"/>
            <w:hideMark/>
          </w:tcPr>
          <w:p w14:paraId="24E304B3"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24.8</w:t>
            </w:r>
          </w:p>
        </w:tc>
      </w:tr>
      <w:tr w:rsidR="00E13D3B" w:rsidRPr="00893C5F" w14:paraId="12C58D47" w14:textId="77777777" w:rsidTr="000A2C73">
        <w:trPr>
          <w:trHeight w:val="315"/>
        </w:trPr>
        <w:tc>
          <w:tcPr>
            <w:cnfStyle w:val="001000000000" w:firstRow="0" w:lastRow="0" w:firstColumn="1" w:lastColumn="0" w:oddVBand="0" w:evenVBand="0" w:oddHBand="0" w:evenHBand="0" w:firstRowFirstColumn="0" w:firstRowLastColumn="0" w:lastRowFirstColumn="0" w:lastRowLastColumn="0"/>
            <w:tcW w:w="1585" w:type="dxa"/>
            <w:hideMark/>
          </w:tcPr>
          <w:p w14:paraId="66662C6F" w14:textId="77777777" w:rsidR="00E13D3B" w:rsidRPr="00893C5F" w:rsidRDefault="00E13D3B" w:rsidP="00893C5F">
            <w:pPr>
              <w:pStyle w:val="NoSpacing"/>
              <w:rPr>
                <w:sz w:val="16"/>
                <w:szCs w:val="16"/>
                <w:lang w:eastAsia="en-GB"/>
              </w:rPr>
            </w:pPr>
            <w:r w:rsidRPr="00893C5F">
              <w:rPr>
                <w:sz w:val="16"/>
                <w:szCs w:val="16"/>
                <w:lang w:eastAsia="en-GB"/>
              </w:rPr>
              <w:t>Luapula</w:t>
            </w:r>
          </w:p>
        </w:tc>
        <w:tc>
          <w:tcPr>
            <w:tcW w:w="1186" w:type="dxa"/>
            <w:hideMark/>
          </w:tcPr>
          <w:p w14:paraId="78C385DF"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69.5</w:t>
            </w:r>
          </w:p>
        </w:tc>
        <w:tc>
          <w:tcPr>
            <w:tcW w:w="1186" w:type="dxa"/>
            <w:hideMark/>
          </w:tcPr>
          <w:p w14:paraId="7FF3BD42"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83.8</w:t>
            </w:r>
          </w:p>
        </w:tc>
        <w:tc>
          <w:tcPr>
            <w:tcW w:w="2083" w:type="dxa"/>
            <w:hideMark/>
          </w:tcPr>
          <w:p w14:paraId="44B099EB"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14.3</w:t>
            </w:r>
          </w:p>
        </w:tc>
        <w:tc>
          <w:tcPr>
            <w:tcW w:w="2986" w:type="dxa"/>
            <w:hideMark/>
          </w:tcPr>
          <w:p w14:paraId="460D9979"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16.2</w:t>
            </w:r>
          </w:p>
        </w:tc>
      </w:tr>
      <w:tr w:rsidR="00E13D3B" w:rsidRPr="00893C5F" w14:paraId="37F0A4E9" w14:textId="77777777" w:rsidTr="000A2C7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85" w:type="dxa"/>
            <w:hideMark/>
          </w:tcPr>
          <w:p w14:paraId="3FC999DC" w14:textId="77777777" w:rsidR="00E13D3B" w:rsidRPr="00893C5F" w:rsidRDefault="00E13D3B" w:rsidP="00893C5F">
            <w:pPr>
              <w:pStyle w:val="NoSpacing"/>
              <w:rPr>
                <w:sz w:val="16"/>
                <w:szCs w:val="16"/>
                <w:lang w:eastAsia="en-GB"/>
              </w:rPr>
            </w:pPr>
            <w:r w:rsidRPr="00893C5F">
              <w:rPr>
                <w:sz w:val="16"/>
                <w:szCs w:val="16"/>
                <w:lang w:eastAsia="en-GB"/>
              </w:rPr>
              <w:t>Lusaka</w:t>
            </w:r>
          </w:p>
        </w:tc>
        <w:tc>
          <w:tcPr>
            <w:tcW w:w="1186" w:type="dxa"/>
            <w:hideMark/>
          </w:tcPr>
          <w:p w14:paraId="34206830"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85.5</w:t>
            </w:r>
          </w:p>
        </w:tc>
        <w:tc>
          <w:tcPr>
            <w:tcW w:w="1186" w:type="dxa"/>
            <w:hideMark/>
          </w:tcPr>
          <w:p w14:paraId="5A49B60E"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96.1</w:t>
            </w:r>
          </w:p>
        </w:tc>
        <w:tc>
          <w:tcPr>
            <w:tcW w:w="2083" w:type="dxa"/>
            <w:hideMark/>
          </w:tcPr>
          <w:p w14:paraId="58DA0EE7"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10.6</w:t>
            </w:r>
          </w:p>
        </w:tc>
        <w:tc>
          <w:tcPr>
            <w:tcW w:w="2986" w:type="dxa"/>
            <w:hideMark/>
          </w:tcPr>
          <w:p w14:paraId="407A8943"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3.9</w:t>
            </w:r>
          </w:p>
        </w:tc>
      </w:tr>
      <w:tr w:rsidR="00E13D3B" w:rsidRPr="00893C5F" w14:paraId="53380C1A" w14:textId="77777777" w:rsidTr="000A2C73">
        <w:trPr>
          <w:trHeight w:val="435"/>
        </w:trPr>
        <w:tc>
          <w:tcPr>
            <w:cnfStyle w:val="001000000000" w:firstRow="0" w:lastRow="0" w:firstColumn="1" w:lastColumn="0" w:oddVBand="0" w:evenVBand="0" w:oddHBand="0" w:evenHBand="0" w:firstRowFirstColumn="0" w:firstRowLastColumn="0" w:lastRowFirstColumn="0" w:lastRowLastColumn="0"/>
            <w:tcW w:w="1585" w:type="dxa"/>
            <w:hideMark/>
          </w:tcPr>
          <w:p w14:paraId="25F342C2" w14:textId="77777777" w:rsidR="00E13D3B" w:rsidRPr="00893C5F" w:rsidRDefault="00E13D3B" w:rsidP="00893C5F">
            <w:pPr>
              <w:pStyle w:val="NoSpacing"/>
              <w:rPr>
                <w:sz w:val="16"/>
                <w:szCs w:val="16"/>
                <w:lang w:eastAsia="en-GB"/>
              </w:rPr>
            </w:pPr>
            <w:r w:rsidRPr="00893C5F">
              <w:rPr>
                <w:sz w:val="16"/>
                <w:szCs w:val="16"/>
                <w:lang w:eastAsia="en-GB"/>
              </w:rPr>
              <w:t>North-Western</w:t>
            </w:r>
          </w:p>
        </w:tc>
        <w:tc>
          <w:tcPr>
            <w:tcW w:w="1186" w:type="dxa"/>
            <w:hideMark/>
          </w:tcPr>
          <w:p w14:paraId="0054C43A"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64.5</w:t>
            </w:r>
          </w:p>
        </w:tc>
        <w:tc>
          <w:tcPr>
            <w:tcW w:w="1186" w:type="dxa"/>
            <w:hideMark/>
          </w:tcPr>
          <w:p w14:paraId="4EF89DF1"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86.8</w:t>
            </w:r>
          </w:p>
        </w:tc>
        <w:tc>
          <w:tcPr>
            <w:tcW w:w="2083" w:type="dxa"/>
            <w:hideMark/>
          </w:tcPr>
          <w:p w14:paraId="32CFFB39"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22.3</w:t>
            </w:r>
          </w:p>
        </w:tc>
        <w:tc>
          <w:tcPr>
            <w:tcW w:w="2986" w:type="dxa"/>
            <w:hideMark/>
          </w:tcPr>
          <w:p w14:paraId="6FE5854F"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13.2</w:t>
            </w:r>
          </w:p>
        </w:tc>
      </w:tr>
      <w:tr w:rsidR="00E13D3B" w:rsidRPr="00893C5F" w14:paraId="5CAB2480" w14:textId="77777777" w:rsidTr="000A2C7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85" w:type="dxa"/>
            <w:hideMark/>
          </w:tcPr>
          <w:p w14:paraId="28352A92" w14:textId="77777777" w:rsidR="00E13D3B" w:rsidRPr="00893C5F" w:rsidRDefault="00E13D3B" w:rsidP="00893C5F">
            <w:pPr>
              <w:pStyle w:val="NoSpacing"/>
              <w:rPr>
                <w:sz w:val="16"/>
                <w:szCs w:val="16"/>
                <w:lang w:eastAsia="en-GB"/>
              </w:rPr>
            </w:pPr>
            <w:r w:rsidRPr="00893C5F">
              <w:rPr>
                <w:sz w:val="16"/>
                <w:szCs w:val="16"/>
                <w:lang w:eastAsia="en-GB"/>
              </w:rPr>
              <w:t>Northern</w:t>
            </w:r>
          </w:p>
        </w:tc>
        <w:tc>
          <w:tcPr>
            <w:tcW w:w="1186" w:type="dxa"/>
            <w:hideMark/>
          </w:tcPr>
          <w:p w14:paraId="1AAEF6D0"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68</w:t>
            </w:r>
          </w:p>
        </w:tc>
        <w:tc>
          <w:tcPr>
            <w:tcW w:w="1186" w:type="dxa"/>
            <w:hideMark/>
          </w:tcPr>
          <w:p w14:paraId="453F3FE3"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82.2</w:t>
            </w:r>
          </w:p>
        </w:tc>
        <w:tc>
          <w:tcPr>
            <w:tcW w:w="2083" w:type="dxa"/>
            <w:hideMark/>
          </w:tcPr>
          <w:p w14:paraId="2682B564"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14.2</w:t>
            </w:r>
          </w:p>
        </w:tc>
        <w:tc>
          <w:tcPr>
            <w:tcW w:w="2986" w:type="dxa"/>
            <w:hideMark/>
          </w:tcPr>
          <w:p w14:paraId="7F759391"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17.8</w:t>
            </w:r>
          </w:p>
        </w:tc>
      </w:tr>
      <w:tr w:rsidR="00E13D3B" w:rsidRPr="00893C5F" w14:paraId="0E97F271" w14:textId="77777777" w:rsidTr="000A2C73">
        <w:trPr>
          <w:trHeight w:val="315"/>
        </w:trPr>
        <w:tc>
          <w:tcPr>
            <w:cnfStyle w:val="001000000000" w:firstRow="0" w:lastRow="0" w:firstColumn="1" w:lastColumn="0" w:oddVBand="0" w:evenVBand="0" w:oddHBand="0" w:evenHBand="0" w:firstRowFirstColumn="0" w:firstRowLastColumn="0" w:lastRowFirstColumn="0" w:lastRowLastColumn="0"/>
            <w:tcW w:w="1585" w:type="dxa"/>
            <w:hideMark/>
          </w:tcPr>
          <w:p w14:paraId="2CA42209" w14:textId="77777777" w:rsidR="00E13D3B" w:rsidRPr="00893C5F" w:rsidRDefault="00E13D3B" w:rsidP="00893C5F">
            <w:pPr>
              <w:pStyle w:val="NoSpacing"/>
              <w:rPr>
                <w:sz w:val="16"/>
                <w:szCs w:val="16"/>
                <w:lang w:eastAsia="en-GB"/>
              </w:rPr>
            </w:pPr>
            <w:r w:rsidRPr="00893C5F">
              <w:rPr>
                <w:sz w:val="16"/>
                <w:szCs w:val="16"/>
                <w:lang w:eastAsia="en-GB"/>
              </w:rPr>
              <w:t>Southern</w:t>
            </w:r>
          </w:p>
        </w:tc>
        <w:tc>
          <w:tcPr>
            <w:tcW w:w="1186" w:type="dxa"/>
            <w:hideMark/>
          </w:tcPr>
          <w:p w14:paraId="2FBA7D73"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77.1</w:t>
            </w:r>
          </w:p>
        </w:tc>
        <w:tc>
          <w:tcPr>
            <w:tcW w:w="1186" w:type="dxa"/>
            <w:hideMark/>
          </w:tcPr>
          <w:p w14:paraId="206B77E0"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91.3</w:t>
            </w:r>
          </w:p>
        </w:tc>
        <w:tc>
          <w:tcPr>
            <w:tcW w:w="2083" w:type="dxa"/>
            <w:hideMark/>
          </w:tcPr>
          <w:p w14:paraId="55E290B5"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14.2</w:t>
            </w:r>
          </w:p>
        </w:tc>
        <w:tc>
          <w:tcPr>
            <w:tcW w:w="2986" w:type="dxa"/>
            <w:hideMark/>
          </w:tcPr>
          <w:p w14:paraId="6FD662C4"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8.7</w:t>
            </w:r>
          </w:p>
        </w:tc>
      </w:tr>
      <w:tr w:rsidR="00E13D3B" w:rsidRPr="00893C5F" w14:paraId="6737FB12" w14:textId="77777777" w:rsidTr="000A2C7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85" w:type="dxa"/>
            <w:hideMark/>
          </w:tcPr>
          <w:p w14:paraId="763C88A1" w14:textId="77777777" w:rsidR="00E13D3B" w:rsidRPr="00893C5F" w:rsidRDefault="00E13D3B" w:rsidP="00893C5F">
            <w:pPr>
              <w:pStyle w:val="NoSpacing"/>
              <w:rPr>
                <w:sz w:val="16"/>
                <w:szCs w:val="16"/>
                <w:lang w:eastAsia="en-GB"/>
              </w:rPr>
            </w:pPr>
            <w:r w:rsidRPr="00893C5F">
              <w:rPr>
                <w:sz w:val="16"/>
                <w:szCs w:val="16"/>
                <w:lang w:eastAsia="en-GB"/>
              </w:rPr>
              <w:t>Western</w:t>
            </w:r>
          </w:p>
        </w:tc>
        <w:tc>
          <w:tcPr>
            <w:tcW w:w="1186" w:type="dxa"/>
            <w:hideMark/>
          </w:tcPr>
          <w:p w14:paraId="0B526F71"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70.4</w:t>
            </w:r>
          </w:p>
        </w:tc>
        <w:tc>
          <w:tcPr>
            <w:tcW w:w="1186" w:type="dxa"/>
            <w:hideMark/>
          </w:tcPr>
          <w:p w14:paraId="748A0BB4"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82</w:t>
            </w:r>
          </w:p>
        </w:tc>
        <w:tc>
          <w:tcPr>
            <w:tcW w:w="2083" w:type="dxa"/>
            <w:hideMark/>
          </w:tcPr>
          <w:p w14:paraId="6EEFE76F"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11.6</w:t>
            </w:r>
          </w:p>
        </w:tc>
        <w:tc>
          <w:tcPr>
            <w:tcW w:w="2986" w:type="dxa"/>
            <w:hideMark/>
          </w:tcPr>
          <w:p w14:paraId="048E6EA9" w14:textId="77777777" w:rsidR="00E13D3B" w:rsidRPr="00893C5F" w:rsidRDefault="00E13D3B" w:rsidP="00893C5F">
            <w:pPr>
              <w:pStyle w:val="NoSpacing"/>
              <w:cnfStyle w:val="000000100000" w:firstRow="0" w:lastRow="0" w:firstColumn="0" w:lastColumn="0" w:oddVBand="0" w:evenVBand="0" w:oddHBand="1" w:evenHBand="0" w:firstRowFirstColumn="0" w:firstRowLastColumn="0" w:lastRowFirstColumn="0" w:lastRowLastColumn="0"/>
              <w:rPr>
                <w:sz w:val="16"/>
                <w:szCs w:val="16"/>
                <w:lang w:eastAsia="en-GB"/>
              </w:rPr>
            </w:pPr>
            <w:r w:rsidRPr="00893C5F">
              <w:rPr>
                <w:sz w:val="16"/>
                <w:szCs w:val="16"/>
                <w:lang w:eastAsia="en-GB"/>
              </w:rPr>
              <w:t>18</w:t>
            </w:r>
          </w:p>
        </w:tc>
      </w:tr>
      <w:tr w:rsidR="00E13D3B" w:rsidRPr="00893C5F" w14:paraId="47A8E651" w14:textId="77777777" w:rsidTr="000A2C73">
        <w:trPr>
          <w:trHeight w:val="315"/>
        </w:trPr>
        <w:tc>
          <w:tcPr>
            <w:cnfStyle w:val="001000000000" w:firstRow="0" w:lastRow="0" w:firstColumn="1" w:lastColumn="0" w:oddVBand="0" w:evenVBand="0" w:oddHBand="0" w:evenHBand="0" w:firstRowFirstColumn="0" w:firstRowLastColumn="0" w:lastRowFirstColumn="0" w:lastRowLastColumn="0"/>
            <w:tcW w:w="1585" w:type="dxa"/>
            <w:hideMark/>
          </w:tcPr>
          <w:p w14:paraId="69A7CBC9" w14:textId="77777777" w:rsidR="00E13D3B" w:rsidRPr="00893C5F" w:rsidRDefault="00E13D3B" w:rsidP="00893C5F">
            <w:pPr>
              <w:pStyle w:val="NoSpacing"/>
              <w:rPr>
                <w:sz w:val="16"/>
                <w:szCs w:val="16"/>
                <w:lang w:eastAsia="en-GB"/>
              </w:rPr>
            </w:pPr>
            <w:r w:rsidRPr="00893C5F">
              <w:rPr>
                <w:sz w:val="16"/>
                <w:szCs w:val="16"/>
                <w:lang w:eastAsia="en-GB"/>
              </w:rPr>
              <w:t>National</w:t>
            </w:r>
          </w:p>
        </w:tc>
        <w:tc>
          <w:tcPr>
            <w:tcW w:w="1186" w:type="dxa"/>
            <w:hideMark/>
          </w:tcPr>
          <w:p w14:paraId="6541CD96"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74.9</w:t>
            </w:r>
          </w:p>
        </w:tc>
        <w:tc>
          <w:tcPr>
            <w:tcW w:w="1186" w:type="dxa"/>
            <w:hideMark/>
          </w:tcPr>
          <w:p w14:paraId="2878DF17"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88.7</w:t>
            </w:r>
          </w:p>
        </w:tc>
        <w:tc>
          <w:tcPr>
            <w:tcW w:w="2083" w:type="dxa"/>
            <w:hideMark/>
          </w:tcPr>
          <w:p w14:paraId="401348E7"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13.8</w:t>
            </w:r>
          </w:p>
        </w:tc>
        <w:tc>
          <w:tcPr>
            <w:tcW w:w="2986" w:type="dxa"/>
            <w:hideMark/>
          </w:tcPr>
          <w:p w14:paraId="3EE08DB3" w14:textId="77777777" w:rsidR="00E13D3B" w:rsidRPr="00893C5F" w:rsidRDefault="00E13D3B" w:rsidP="00893C5F">
            <w:pPr>
              <w:pStyle w:val="NoSpacing"/>
              <w:cnfStyle w:val="000000000000" w:firstRow="0" w:lastRow="0" w:firstColumn="0" w:lastColumn="0" w:oddVBand="0" w:evenVBand="0" w:oddHBand="0" w:evenHBand="0" w:firstRowFirstColumn="0" w:firstRowLastColumn="0" w:lastRowFirstColumn="0" w:lastRowLastColumn="0"/>
              <w:rPr>
                <w:sz w:val="16"/>
                <w:szCs w:val="16"/>
                <w:lang w:eastAsia="en-GB"/>
              </w:rPr>
            </w:pPr>
            <w:r w:rsidRPr="00893C5F">
              <w:rPr>
                <w:sz w:val="16"/>
                <w:szCs w:val="16"/>
                <w:lang w:eastAsia="en-GB"/>
              </w:rPr>
              <w:t>11.3</w:t>
            </w:r>
          </w:p>
        </w:tc>
      </w:tr>
    </w:tbl>
    <w:p w14:paraId="3598868C" w14:textId="77777777" w:rsidR="00E13D3B" w:rsidRPr="004C75E0" w:rsidRDefault="00E13D3B" w:rsidP="00A60BD4">
      <w:pPr>
        <w:spacing w:line="360" w:lineRule="auto"/>
        <w:jc w:val="both"/>
        <w:rPr>
          <w:rFonts w:ascii="Times New Roman" w:hAnsi="Times New Roman" w:cs="Times New Roman"/>
          <w:color w:val="000000"/>
          <w:sz w:val="24"/>
          <w:szCs w:val="24"/>
          <w:lang w:val="en-US"/>
        </w:rPr>
      </w:pPr>
      <w:r w:rsidRPr="004C75E0">
        <w:rPr>
          <w:rFonts w:ascii="Times New Roman" w:hAnsi="Times New Roman" w:cs="Times New Roman"/>
          <w:b/>
          <w:color w:val="000000"/>
          <w:sz w:val="24"/>
          <w:szCs w:val="24"/>
          <w:u w:val="single"/>
          <w:lang w:val="en-US"/>
        </w:rPr>
        <w:t>Source</w:t>
      </w:r>
      <w:r w:rsidRPr="004C75E0">
        <w:rPr>
          <w:rFonts w:ascii="Times New Roman" w:hAnsi="Times New Roman" w:cs="Times New Roman"/>
          <w:b/>
          <w:color w:val="000000"/>
          <w:sz w:val="24"/>
          <w:szCs w:val="24"/>
          <w:lang w:val="en-US"/>
        </w:rPr>
        <w:t>: CSO, National Reports.</w:t>
      </w:r>
    </w:p>
    <w:p w14:paraId="376E6986" w14:textId="75A44897" w:rsidR="00E13D3B" w:rsidRPr="006C1CE1" w:rsidRDefault="00E13D3B" w:rsidP="00A60BD4">
      <w:pPr>
        <w:spacing w:line="360" w:lineRule="auto"/>
        <w:jc w:val="both"/>
        <w:rPr>
          <w:rFonts w:ascii="Times New Roman" w:hAnsi="Times New Roman" w:cs="Times New Roman"/>
          <w:color w:val="000000"/>
          <w:lang w:val="en-US"/>
        </w:rPr>
      </w:pPr>
      <w:r w:rsidRPr="006C1CE1">
        <w:rPr>
          <w:rFonts w:ascii="Times New Roman" w:hAnsi="Times New Roman" w:cs="Times New Roman"/>
          <w:lang w:val="en-US"/>
        </w:rPr>
        <w:t>I</w:t>
      </w:r>
      <w:r w:rsidR="006C1CE1" w:rsidRPr="006C1CE1">
        <w:rPr>
          <w:rFonts w:ascii="Times New Roman" w:hAnsi="Times New Roman" w:cs="Times New Roman"/>
          <w:lang w:val="en-US"/>
        </w:rPr>
        <w:t>n 2010, Copper belt province ha</w:t>
      </w:r>
      <w:r w:rsidRPr="006C1CE1">
        <w:rPr>
          <w:rFonts w:ascii="Times New Roman" w:hAnsi="Times New Roman" w:cs="Times New Roman"/>
          <w:lang w:val="en-US"/>
        </w:rPr>
        <w:t>d the highest youth literacy rate (96.6 percent) while Eastern province had the lowest (75.2 percent).</w:t>
      </w:r>
      <w:r w:rsidRPr="006C1CE1">
        <w:rPr>
          <w:rFonts w:ascii="Times New Roman" w:hAnsi="Times New Roman" w:cs="Times New Roman"/>
          <w:color w:val="000000"/>
          <w:lang w:val="en-US"/>
        </w:rPr>
        <w:t xml:space="preserve"> Over the period 1990 and 2010, five provinces have made considerable strides to improve their youth literacy rates by more th</w:t>
      </w:r>
      <w:r w:rsidR="006C1CE1" w:rsidRPr="006C1CE1">
        <w:rPr>
          <w:rFonts w:ascii="Times New Roman" w:hAnsi="Times New Roman" w:cs="Times New Roman"/>
          <w:color w:val="000000"/>
          <w:lang w:val="en-US"/>
        </w:rPr>
        <w:t>an 20 percentage points (Table 3</w:t>
      </w:r>
      <w:r w:rsidRPr="006C1CE1">
        <w:rPr>
          <w:rFonts w:ascii="Times New Roman" w:hAnsi="Times New Roman" w:cs="Times New Roman"/>
          <w:color w:val="000000"/>
          <w:lang w:val="en-US"/>
        </w:rPr>
        <w:t>.6). These are Eastern and North-Western. Incidentally, Eastern and North-Western provinces also made considerable strides in improving net enrolment rates for primary school and completion rates in the last decade. The general pattern that emerges is that provinces that have demonstrated strong improvement in both net enrolment rates in primary school and primary completion rates have also reflected strong performance in youth literacy. Provinces that recorded healthy gains of between 10-20 percentage points include Central</w:t>
      </w:r>
      <w:r w:rsidR="00715F01" w:rsidRPr="006C1CE1">
        <w:rPr>
          <w:rFonts w:ascii="Times New Roman" w:hAnsi="Times New Roman" w:cs="Times New Roman"/>
          <w:color w:val="000000"/>
          <w:lang w:val="en-US"/>
        </w:rPr>
        <w:t>,</w:t>
      </w:r>
      <w:r w:rsidRPr="006C1CE1">
        <w:rPr>
          <w:rFonts w:ascii="Times New Roman" w:hAnsi="Times New Roman" w:cs="Times New Roman"/>
          <w:color w:val="000000"/>
          <w:lang w:val="en-US"/>
        </w:rPr>
        <w:t xml:space="preserve"> Luapula, Lusaka, Northern, Southern and Western Provinces.  The Copper belt province saw only marginal gains of 8.4 percentage points over the reference period but the province was already with a comparatively higher starting point of 88.2 percent in 1990. </w:t>
      </w:r>
    </w:p>
    <w:p w14:paraId="21D30A28" w14:textId="77777777" w:rsidR="00FB0114" w:rsidRPr="006C1CE1" w:rsidRDefault="00E13D3B" w:rsidP="00A60BD4">
      <w:pPr>
        <w:spacing w:line="360" w:lineRule="auto"/>
        <w:jc w:val="both"/>
        <w:rPr>
          <w:rFonts w:ascii="Times New Roman" w:hAnsi="Times New Roman" w:cs="Times New Roman"/>
          <w:color w:val="000000"/>
          <w:lang w:val="en-US"/>
        </w:rPr>
      </w:pPr>
      <w:r w:rsidRPr="006C1CE1">
        <w:rPr>
          <w:rFonts w:ascii="Times New Roman" w:hAnsi="Times New Roman" w:cs="Times New Roman"/>
          <w:color w:val="000000"/>
          <w:lang w:val="en-US"/>
        </w:rPr>
        <w:t xml:space="preserve">In terms of the gap left to the achieve the 2015 MDG target of 100 percent youth literacy rates, the pattern that emerges is that urban provinces were close to hitting the target in 2010 and remain on course. As at 2010, Copper belt and Lusaka provinces were within 4 percentage points to hitting the target. Provinces that are predominantly rural (Eastern, Luapula, Northern and Western) were off track in 2010 by between 16-25 percentages points. Among these, Eastern Province shows the largest deviations from the target, with youth literacy rates of about 25 percentage points off target in 2010.  </w:t>
      </w:r>
    </w:p>
    <w:p w14:paraId="38395728" w14:textId="0114A856" w:rsidR="00FB0114" w:rsidRPr="006C1CE1" w:rsidRDefault="00FB0114" w:rsidP="00FB0114">
      <w:pPr>
        <w:spacing w:line="360" w:lineRule="auto"/>
        <w:jc w:val="both"/>
        <w:rPr>
          <w:rFonts w:ascii="Times New Roman" w:hAnsi="Times New Roman" w:cs="Times New Roman"/>
          <w:color w:val="000000"/>
          <w:lang w:val="en-US"/>
        </w:rPr>
      </w:pPr>
      <w:r w:rsidRPr="006C1CE1">
        <w:rPr>
          <w:rFonts w:ascii="Times New Roman" w:hAnsi="Times New Roman" w:cs="Times New Roman"/>
        </w:rPr>
        <w:t>The inauspicious performance on youth literacy points to concerns about the nature of skills development in the country. The  education  doctrine  and  train</w:t>
      </w:r>
      <w:r w:rsidR="006C1CE1" w:rsidRPr="006C1CE1">
        <w:rPr>
          <w:rFonts w:ascii="Times New Roman" w:hAnsi="Times New Roman" w:cs="Times New Roman"/>
        </w:rPr>
        <w:t xml:space="preserve">ing  system  at  all  levels </w:t>
      </w:r>
      <w:r w:rsidRPr="006C1CE1">
        <w:rPr>
          <w:rFonts w:ascii="Times New Roman" w:hAnsi="Times New Roman" w:cs="Times New Roman"/>
        </w:rPr>
        <w:t xml:space="preserve"> are not producing  the  quality  of  skills  required  by  the  labour  market. At best there is a skill-mismatch. </w:t>
      </w:r>
      <w:r w:rsidR="006C1CE1" w:rsidRPr="006C1CE1">
        <w:rPr>
          <w:rFonts w:ascii="Times New Roman" w:hAnsi="Times New Roman" w:cs="Times New Roman"/>
        </w:rPr>
        <w:t>Going forward</w:t>
      </w:r>
      <w:r w:rsidRPr="006C1CE1">
        <w:rPr>
          <w:rFonts w:ascii="Times New Roman" w:hAnsi="Times New Roman" w:cs="Times New Roman"/>
        </w:rPr>
        <w:t>, efforts  to  increase  the  supply  of  relevant skills  and  training  have  to  be  seen  in  the  context  of   strengthening  secondary  and post-secondary  vocational  studies to  make  the  education  system  more  flexible  and  responsive  to  the  emerging  needs  of  the  economy.</w:t>
      </w:r>
    </w:p>
    <w:p w14:paraId="0AD15CF8" w14:textId="2BC558FB" w:rsidR="009F49ED" w:rsidRPr="00FB0114" w:rsidRDefault="009F49ED" w:rsidP="001C7505">
      <w:pPr>
        <w:pStyle w:val="Heading3"/>
        <w:rPr>
          <w:rFonts w:ascii="Times New Roman" w:hAnsi="Times New Roman" w:cs="Times New Roman"/>
          <w:lang w:val="en-US" w:eastAsia="en-GB"/>
        </w:rPr>
      </w:pPr>
      <w:bookmarkStart w:id="31" w:name="_Toc458687356"/>
      <w:bookmarkStart w:id="32" w:name="_Toc433616424"/>
      <w:bookmarkStart w:id="33" w:name="_Toc432435868"/>
      <w:r w:rsidRPr="00FB0114">
        <w:rPr>
          <w:rFonts w:ascii="Times New Roman" w:hAnsi="Times New Roman" w:cs="Times New Roman"/>
          <w:lang w:val="en-US" w:eastAsia="en-GB"/>
        </w:rPr>
        <w:t>3.2.4</w:t>
      </w:r>
      <w:r w:rsidRPr="00FB0114">
        <w:rPr>
          <w:rFonts w:ascii="Times New Roman" w:hAnsi="Times New Roman" w:cs="Times New Roman"/>
          <w:lang w:val="en-US" w:eastAsia="en-GB"/>
        </w:rPr>
        <w:tab/>
        <w:t xml:space="preserve"> Achieving 50</w:t>
      </w:r>
      <w:r w:rsidR="00AF3E96">
        <w:rPr>
          <w:rFonts w:ascii="Times New Roman" w:hAnsi="Times New Roman" w:cs="Times New Roman"/>
          <w:lang w:val="en-US" w:eastAsia="en-GB"/>
        </w:rPr>
        <w:t xml:space="preserve"> Percent Improvement in Adult L</w:t>
      </w:r>
      <w:r w:rsidRPr="00FB0114">
        <w:rPr>
          <w:rFonts w:ascii="Times New Roman" w:hAnsi="Times New Roman" w:cs="Times New Roman"/>
          <w:lang w:val="en-US" w:eastAsia="en-GB"/>
        </w:rPr>
        <w:t>iteracy by 2015</w:t>
      </w:r>
      <w:bookmarkEnd w:id="31"/>
    </w:p>
    <w:p w14:paraId="1CE85BDB" w14:textId="77777777" w:rsidR="009F49ED" w:rsidRDefault="009F49ED" w:rsidP="001C7505">
      <w:pPr>
        <w:pStyle w:val="Heading3"/>
        <w:rPr>
          <w:rFonts w:ascii="Times New Roman" w:hAnsi="Times New Roman" w:cs="Times New Roman"/>
          <w:highlight w:val="yellow"/>
          <w:lang w:val="en-US" w:eastAsia="en-GB"/>
        </w:rPr>
      </w:pPr>
    </w:p>
    <w:p w14:paraId="19189828" w14:textId="77777777" w:rsidR="009F49ED" w:rsidRPr="006C1CE1" w:rsidRDefault="009F49ED" w:rsidP="007D7AEF">
      <w:pPr>
        <w:spacing w:line="360" w:lineRule="auto"/>
        <w:jc w:val="both"/>
        <w:rPr>
          <w:rFonts w:ascii="Times New Roman" w:hAnsi="Times New Roman" w:cs="Times New Roman"/>
          <w:lang w:val="en-US"/>
        </w:rPr>
      </w:pPr>
      <w:r w:rsidRPr="006C1CE1">
        <w:rPr>
          <w:rFonts w:ascii="Times New Roman" w:hAnsi="Times New Roman" w:cs="Times New Roman"/>
        </w:rPr>
        <w:t>The fourth EFA aimed to achieve a 50 per cent improvement in levels of adult literacy by 2015, especially for women, and equitable access to basic and cont</w:t>
      </w:r>
      <w:r w:rsidR="007D7AEF" w:rsidRPr="006C1CE1">
        <w:rPr>
          <w:rFonts w:ascii="Times New Roman" w:hAnsi="Times New Roman" w:cs="Times New Roman"/>
        </w:rPr>
        <w:t>inuing education for all adults</w:t>
      </w:r>
      <w:r w:rsidRPr="006C1CE1">
        <w:rPr>
          <w:rFonts w:ascii="Times New Roman" w:hAnsi="Times New Roman" w:cs="Times New Roman"/>
        </w:rPr>
        <w:t>.</w:t>
      </w:r>
      <w:r w:rsidR="007D7AEF" w:rsidRPr="006C1CE1">
        <w:rPr>
          <w:rFonts w:ascii="Times New Roman" w:hAnsi="Times New Roman" w:cs="Times New Roman"/>
          <w:lang w:val="en-US"/>
        </w:rPr>
        <w:t xml:space="preserve"> </w:t>
      </w:r>
      <w:r w:rsidRPr="006C1CE1">
        <w:rPr>
          <w:rFonts w:ascii="Times New Roman" w:hAnsi="Times New Roman" w:cs="Times New Roman"/>
          <w:lang w:val="en-US"/>
        </w:rPr>
        <w:t>The fundamental thrust for adult literacy is that literate individuals are better “able to access other education and employment opportunities and collectively, literate societies are better geared to meet development challenges” (Car-Hill, Frostell and Pesoa, 2008).</w:t>
      </w:r>
    </w:p>
    <w:p w14:paraId="5F9207D4" w14:textId="5C37B6C7" w:rsidR="007D7AEF" w:rsidRPr="006C1CE1" w:rsidRDefault="007D7AEF" w:rsidP="007D7AEF">
      <w:pPr>
        <w:autoSpaceDE w:val="0"/>
        <w:autoSpaceDN w:val="0"/>
        <w:adjustRightInd w:val="0"/>
        <w:spacing w:after="0" w:line="360" w:lineRule="auto"/>
        <w:jc w:val="both"/>
        <w:rPr>
          <w:rFonts w:ascii="Times New Roman" w:hAnsi="Times New Roman" w:cs="Times New Roman"/>
        </w:rPr>
      </w:pPr>
      <w:r w:rsidRPr="006C1CE1">
        <w:rPr>
          <w:rFonts w:ascii="Times New Roman" w:hAnsi="Times New Roman" w:cs="Times New Roman"/>
        </w:rPr>
        <w:t>The EFA target of halving adult illiteracy rates by 50 percent, especially for women implied that the national average literacy rate that stood at 67.2 was targeted to be raised to 83.6 by 2015.  The Government of the republic of Zambia admits that “efforts to ensure that the manifest gender gap in adult illiteracy was reduced through mandate to provide, coordinate, manage and monitor adult remains a huge challenge”(MoE, 2015). At best, it is envisaged that the policies on Free Education and Re-entry for girls will have a significant impact in the elimination of gender disparities in literacy levels in the adult population.</w:t>
      </w:r>
      <w:r w:rsidR="006C1CE1">
        <w:rPr>
          <w:rFonts w:ascii="Times New Roman" w:hAnsi="Times New Roman" w:cs="Times New Roman"/>
        </w:rPr>
        <w:t xml:space="preserve"> Overall, adult literacy and continued education – along early childhood education remains neglected</w:t>
      </w:r>
      <w:r w:rsidR="001058FB">
        <w:rPr>
          <w:rFonts w:ascii="Times New Roman" w:hAnsi="Times New Roman" w:cs="Times New Roman"/>
        </w:rPr>
        <w:t xml:space="preserve"> sub-sectors</w:t>
      </w:r>
      <w:r w:rsidR="006C1CE1">
        <w:rPr>
          <w:rFonts w:ascii="Times New Roman" w:hAnsi="Times New Roman" w:cs="Times New Roman"/>
        </w:rPr>
        <w:t xml:space="preserve"> in Zambia, at best only addressed with half-hearted attempts at the official level.</w:t>
      </w:r>
    </w:p>
    <w:p w14:paraId="00432CEE" w14:textId="77777777" w:rsidR="007D7AEF" w:rsidRPr="007D7AEF" w:rsidRDefault="007D7AEF" w:rsidP="007D7AEF">
      <w:pPr>
        <w:autoSpaceDE w:val="0"/>
        <w:autoSpaceDN w:val="0"/>
        <w:adjustRightInd w:val="0"/>
        <w:spacing w:after="0" w:line="240" w:lineRule="auto"/>
        <w:rPr>
          <w:rFonts w:ascii="TimesNewRomanPSMT" w:hAnsi="TimesNewRomanPSMT" w:cs="TimesNewRomanPSMT"/>
          <w:sz w:val="24"/>
          <w:szCs w:val="24"/>
        </w:rPr>
      </w:pPr>
    </w:p>
    <w:p w14:paraId="2C1F62EE" w14:textId="2C205B96" w:rsidR="001C7505" w:rsidRPr="00413B98" w:rsidRDefault="009F49ED" w:rsidP="001C7505">
      <w:pPr>
        <w:pStyle w:val="Heading3"/>
        <w:rPr>
          <w:rFonts w:ascii="Times New Roman" w:hAnsi="Times New Roman" w:cs="Times New Roman"/>
          <w:lang w:val="en-US" w:eastAsia="en-GB"/>
        </w:rPr>
      </w:pPr>
      <w:bookmarkStart w:id="34" w:name="_Toc458687357"/>
      <w:r w:rsidRPr="00413B98">
        <w:rPr>
          <w:rFonts w:ascii="Times New Roman" w:hAnsi="Times New Roman" w:cs="Times New Roman"/>
          <w:lang w:val="en-US" w:eastAsia="en-GB"/>
        </w:rPr>
        <w:t>3.2.5</w:t>
      </w:r>
      <w:r w:rsidR="00C754D4">
        <w:rPr>
          <w:rFonts w:ascii="Times New Roman" w:hAnsi="Times New Roman" w:cs="Times New Roman"/>
          <w:lang w:val="en-US" w:eastAsia="en-GB"/>
        </w:rPr>
        <w:tab/>
      </w:r>
      <w:r w:rsidR="00AF3E96">
        <w:rPr>
          <w:rFonts w:ascii="Times New Roman" w:hAnsi="Times New Roman" w:cs="Times New Roman"/>
          <w:lang w:val="en-US" w:eastAsia="en-GB"/>
        </w:rPr>
        <w:t>Gender Disparity in Primary and Secondary S</w:t>
      </w:r>
      <w:r w:rsidR="001C7505" w:rsidRPr="00413B98">
        <w:rPr>
          <w:rFonts w:ascii="Times New Roman" w:hAnsi="Times New Roman" w:cs="Times New Roman"/>
          <w:lang w:val="en-US" w:eastAsia="en-GB"/>
        </w:rPr>
        <w:t>chools</w:t>
      </w:r>
      <w:bookmarkEnd w:id="34"/>
    </w:p>
    <w:p w14:paraId="4B230E57" w14:textId="77777777" w:rsidR="001C7505" w:rsidRPr="004C75E0" w:rsidRDefault="001C7505" w:rsidP="001C7505">
      <w:pPr>
        <w:pStyle w:val="Heading3"/>
        <w:rPr>
          <w:rFonts w:ascii="Times New Roman" w:hAnsi="Times New Roman" w:cs="Times New Roman"/>
          <w:highlight w:val="yellow"/>
          <w:lang w:val="en-US" w:eastAsia="en-GB"/>
        </w:rPr>
      </w:pPr>
    </w:p>
    <w:p w14:paraId="1AEA0B94" w14:textId="606BE63A" w:rsidR="0083382C" w:rsidRPr="0083382C" w:rsidRDefault="0083382C" w:rsidP="0083382C">
      <w:pPr>
        <w:spacing w:line="360" w:lineRule="auto"/>
        <w:jc w:val="both"/>
        <w:rPr>
          <w:rFonts w:ascii="Times New Roman" w:hAnsi="Times New Roman" w:cs="Times New Roman"/>
          <w:sz w:val="24"/>
          <w:szCs w:val="24"/>
        </w:rPr>
      </w:pPr>
      <w:r w:rsidRPr="0083382C">
        <w:rPr>
          <w:rFonts w:ascii="Times New Roman" w:hAnsi="Times New Roman" w:cs="Times New Roman"/>
          <w:sz w:val="24"/>
          <w:szCs w:val="24"/>
        </w:rPr>
        <w:t>The ratio of girls to boys in primary education has increased from 0.90 in 1990 to 0.99 in 2010, which is very close to the target of 1. In effect</w:t>
      </w:r>
      <w:r w:rsidR="001058FB">
        <w:rPr>
          <w:rFonts w:ascii="Times New Roman" w:hAnsi="Times New Roman" w:cs="Times New Roman"/>
          <w:sz w:val="24"/>
          <w:szCs w:val="24"/>
        </w:rPr>
        <w:t>,</w:t>
      </w:r>
      <w:r w:rsidRPr="0083382C">
        <w:rPr>
          <w:rFonts w:ascii="Times New Roman" w:hAnsi="Times New Roman" w:cs="Times New Roman"/>
          <w:sz w:val="24"/>
          <w:szCs w:val="24"/>
        </w:rPr>
        <w:t xml:space="preserve"> Zambia has attained gender parity in primary school enrolment. The Programme for Advancement of Girls’ Education, introduced in 1994, and to a lesser degree the re-entry policy, is considered a major driver in this regard. Gender parity by province shows that Lusaka and Copperbelt Provinces have attained equality in primary education. Being urban provinces, they have a high number of school places, and are less susceptible to traditions working against girls getting an education. Amongst the rural provinces, Eastern (0.99) had the best gender parity, while Northern (0.93) had the worst. </w:t>
      </w:r>
    </w:p>
    <w:p w14:paraId="4950AAEC" w14:textId="71837DD4" w:rsidR="00413B98" w:rsidRPr="0083382C" w:rsidRDefault="0083382C" w:rsidP="0083382C">
      <w:pPr>
        <w:spacing w:line="360" w:lineRule="auto"/>
        <w:jc w:val="both"/>
        <w:rPr>
          <w:rFonts w:ascii="Times New Roman" w:hAnsi="Times New Roman" w:cs="Times New Roman"/>
          <w:sz w:val="24"/>
          <w:szCs w:val="24"/>
        </w:rPr>
      </w:pPr>
      <w:r w:rsidRPr="0083382C">
        <w:rPr>
          <w:rFonts w:ascii="Times New Roman" w:hAnsi="Times New Roman" w:cs="Times New Roman"/>
          <w:sz w:val="24"/>
          <w:szCs w:val="24"/>
        </w:rPr>
        <w:t>Gender parity in secondary education has, however, fallen from 0.92 in 1990 to 0.86 in 2010</w:t>
      </w:r>
      <w:r w:rsidR="00715F01">
        <w:rPr>
          <w:rFonts w:ascii="Times New Roman" w:hAnsi="Times New Roman" w:cs="Times New Roman"/>
          <w:sz w:val="24"/>
          <w:szCs w:val="24"/>
        </w:rPr>
        <w:t xml:space="preserve"> </w:t>
      </w:r>
      <w:r w:rsidR="001058FB">
        <w:rPr>
          <w:rFonts w:ascii="Times New Roman" w:hAnsi="Times New Roman" w:cs="Times New Roman"/>
          <w:sz w:val="24"/>
          <w:szCs w:val="24"/>
        </w:rPr>
        <w:t>(see Table 3.7</w:t>
      </w:r>
      <w:r w:rsidRPr="0083382C">
        <w:rPr>
          <w:rFonts w:ascii="Times New Roman" w:hAnsi="Times New Roman" w:cs="Times New Roman"/>
          <w:sz w:val="24"/>
          <w:szCs w:val="24"/>
        </w:rPr>
        <w:t>), primarily driven by a high dropout rate for girls. Girls are being socialized to become wives, mothers and care-givers, which results in more domestic responsibilities (chores and care tasks), teenage pregnancies and early marriages. Once in secondary school, girls are also vulnerable to sexual harassment and violence a</w:t>
      </w:r>
      <w:r w:rsidR="001058FB">
        <w:rPr>
          <w:rFonts w:ascii="Times New Roman" w:hAnsi="Times New Roman" w:cs="Times New Roman"/>
          <w:sz w:val="24"/>
          <w:szCs w:val="24"/>
        </w:rPr>
        <w:t xml:space="preserve">nd related diseases such as HIV and </w:t>
      </w:r>
      <w:r w:rsidRPr="0083382C">
        <w:rPr>
          <w:rFonts w:ascii="Times New Roman" w:hAnsi="Times New Roman" w:cs="Times New Roman"/>
          <w:sz w:val="24"/>
          <w:szCs w:val="24"/>
        </w:rPr>
        <w:t xml:space="preserve">AIDS. </w:t>
      </w:r>
    </w:p>
    <w:p w14:paraId="36B9FBE6" w14:textId="11AA9F4F" w:rsidR="0083382C" w:rsidRPr="001058FB" w:rsidRDefault="001058FB" w:rsidP="0083382C">
      <w:pPr>
        <w:pStyle w:val="NoSpacing"/>
        <w:rPr>
          <w:rFonts w:ascii="Times New Roman" w:hAnsi="Times New Roman" w:cs="Times New Roman"/>
          <w:b/>
        </w:rPr>
      </w:pPr>
      <w:r w:rsidRPr="001058FB">
        <w:rPr>
          <w:rFonts w:ascii="Times New Roman" w:hAnsi="Times New Roman" w:cs="Times New Roman"/>
          <w:b/>
        </w:rPr>
        <w:t>Table 3.7</w:t>
      </w:r>
      <w:r w:rsidR="0083382C" w:rsidRPr="001058FB">
        <w:rPr>
          <w:rFonts w:ascii="Times New Roman" w:hAnsi="Times New Roman" w:cs="Times New Roman"/>
          <w:b/>
        </w:rPr>
        <w:t>: Gender Parity Ratios – Primary and Secondary Level 2006 – 2013</w:t>
      </w:r>
    </w:p>
    <w:tbl>
      <w:tblPr>
        <w:tblStyle w:val="PlainTable21"/>
        <w:tblW w:w="9351" w:type="dxa"/>
        <w:tblLook w:val="04A0" w:firstRow="1" w:lastRow="0" w:firstColumn="1" w:lastColumn="0" w:noHBand="0" w:noVBand="1"/>
      </w:tblPr>
      <w:tblGrid>
        <w:gridCol w:w="1084"/>
        <w:gridCol w:w="809"/>
        <w:gridCol w:w="808"/>
        <w:gridCol w:w="808"/>
        <w:gridCol w:w="808"/>
        <w:gridCol w:w="808"/>
        <w:gridCol w:w="808"/>
        <w:gridCol w:w="808"/>
        <w:gridCol w:w="808"/>
        <w:gridCol w:w="1802"/>
      </w:tblGrid>
      <w:tr w:rsidR="0083382C" w:rsidRPr="00DE2F7B" w14:paraId="6F53376E" w14:textId="77777777" w:rsidTr="00413B98">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084" w:type="dxa"/>
          </w:tcPr>
          <w:p w14:paraId="18016A11" w14:textId="77777777" w:rsidR="0083382C" w:rsidRPr="00DE2F7B" w:rsidRDefault="0083382C" w:rsidP="00C754D4">
            <w:pPr>
              <w:spacing w:before="100" w:beforeAutospacing="1" w:after="100" w:afterAutospacing="1"/>
              <w:jc w:val="both"/>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Level</w:t>
            </w:r>
          </w:p>
        </w:tc>
        <w:tc>
          <w:tcPr>
            <w:tcW w:w="809" w:type="dxa"/>
          </w:tcPr>
          <w:p w14:paraId="094EDAE8" w14:textId="77777777" w:rsidR="0083382C" w:rsidRPr="00DE2F7B" w:rsidRDefault="0083382C" w:rsidP="00C754D4">
            <w:pPr>
              <w:spacing w:before="100" w:beforeAutospacing="1" w:after="100" w:afterAutospacing="1"/>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2006</w:t>
            </w:r>
          </w:p>
        </w:tc>
        <w:tc>
          <w:tcPr>
            <w:tcW w:w="808" w:type="dxa"/>
          </w:tcPr>
          <w:p w14:paraId="3130A9C2" w14:textId="77777777" w:rsidR="0083382C" w:rsidRPr="00DE2F7B" w:rsidRDefault="0083382C" w:rsidP="00C754D4">
            <w:pPr>
              <w:spacing w:before="100" w:beforeAutospacing="1" w:after="100" w:afterAutospacing="1"/>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2007</w:t>
            </w:r>
          </w:p>
        </w:tc>
        <w:tc>
          <w:tcPr>
            <w:tcW w:w="808" w:type="dxa"/>
          </w:tcPr>
          <w:p w14:paraId="32ED4926" w14:textId="77777777" w:rsidR="0083382C" w:rsidRPr="00DE2F7B" w:rsidRDefault="0083382C" w:rsidP="00C754D4">
            <w:pPr>
              <w:spacing w:before="100" w:beforeAutospacing="1" w:after="100" w:afterAutospacing="1"/>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2008</w:t>
            </w:r>
          </w:p>
        </w:tc>
        <w:tc>
          <w:tcPr>
            <w:tcW w:w="808" w:type="dxa"/>
          </w:tcPr>
          <w:p w14:paraId="541C1031" w14:textId="77777777" w:rsidR="0083382C" w:rsidRPr="00DE2F7B" w:rsidRDefault="0083382C" w:rsidP="00C754D4">
            <w:pPr>
              <w:spacing w:before="100" w:beforeAutospacing="1" w:after="100" w:afterAutospacing="1"/>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2009</w:t>
            </w:r>
          </w:p>
        </w:tc>
        <w:tc>
          <w:tcPr>
            <w:tcW w:w="808" w:type="dxa"/>
          </w:tcPr>
          <w:p w14:paraId="53A61C63" w14:textId="77777777" w:rsidR="0083382C" w:rsidRPr="00DE2F7B" w:rsidRDefault="0083382C" w:rsidP="00C754D4">
            <w:pPr>
              <w:spacing w:before="100" w:beforeAutospacing="1" w:after="100" w:afterAutospacing="1"/>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2010</w:t>
            </w:r>
          </w:p>
        </w:tc>
        <w:tc>
          <w:tcPr>
            <w:tcW w:w="808" w:type="dxa"/>
          </w:tcPr>
          <w:p w14:paraId="269BF415" w14:textId="77777777" w:rsidR="0083382C" w:rsidRPr="00DE2F7B" w:rsidRDefault="0083382C" w:rsidP="00C754D4">
            <w:pPr>
              <w:spacing w:before="100" w:beforeAutospacing="1" w:after="100" w:afterAutospacing="1"/>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2011</w:t>
            </w:r>
          </w:p>
        </w:tc>
        <w:tc>
          <w:tcPr>
            <w:tcW w:w="808" w:type="dxa"/>
          </w:tcPr>
          <w:p w14:paraId="47EF959B" w14:textId="77777777" w:rsidR="0083382C" w:rsidRPr="00DE2F7B" w:rsidRDefault="0083382C" w:rsidP="00C754D4">
            <w:pPr>
              <w:spacing w:before="100" w:beforeAutospacing="1" w:after="100" w:afterAutospacing="1"/>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2012</w:t>
            </w:r>
          </w:p>
        </w:tc>
        <w:tc>
          <w:tcPr>
            <w:tcW w:w="808" w:type="dxa"/>
          </w:tcPr>
          <w:p w14:paraId="4D4B3C31" w14:textId="77777777" w:rsidR="0083382C" w:rsidRPr="00DE2F7B" w:rsidRDefault="0083382C" w:rsidP="00C754D4">
            <w:pPr>
              <w:spacing w:before="100" w:beforeAutospacing="1" w:after="100" w:afterAutospacing="1"/>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2013</w:t>
            </w:r>
          </w:p>
        </w:tc>
        <w:tc>
          <w:tcPr>
            <w:tcW w:w="1802" w:type="dxa"/>
          </w:tcPr>
          <w:p w14:paraId="5A50F852" w14:textId="77777777" w:rsidR="0083382C" w:rsidRPr="00DE2F7B" w:rsidRDefault="0083382C" w:rsidP="00C754D4">
            <w:pPr>
              <w:spacing w:before="100" w:beforeAutospacing="1" w:after="100" w:afterAutospacing="1"/>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Target 2015</w:t>
            </w:r>
          </w:p>
        </w:tc>
      </w:tr>
      <w:tr w:rsidR="0083382C" w:rsidRPr="00DE2F7B" w14:paraId="76096014" w14:textId="77777777" w:rsidTr="00413B98">
        <w:trPr>
          <w:cnfStyle w:val="000000100000" w:firstRow="0" w:lastRow="0" w:firstColumn="0" w:lastColumn="0" w:oddVBand="0" w:evenVBand="0" w:oddHBand="1" w:evenHBand="0" w:firstRowFirstColumn="0" w:firstRowLastColumn="0" w:lastRowFirstColumn="0" w:lastRowLastColumn="0"/>
          <w:trHeight w:val="192"/>
        </w:trPr>
        <w:tc>
          <w:tcPr>
            <w:cnfStyle w:val="001000000000" w:firstRow="0" w:lastRow="0" w:firstColumn="1" w:lastColumn="0" w:oddVBand="0" w:evenVBand="0" w:oddHBand="0" w:evenHBand="0" w:firstRowFirstColumn="0" w:firstRowLastColumn="0" w:lastRowFirstColumn="0" w:lastRowLastColumn="0"/>
            <w:tcW w:w="1084" w:type="dxa"/>
          </w:tcPr>
          <w:p w14:paraId="66826866" w14:textId="77777777" w:rsidR="0083382C" w:rsidRPr="00DE2F7B" w:rsidRDefault="0083382C" w:rsidP="00C754D4">
            <w:pPr>
              <w:spacing w:before="100" w:beforeAutospacing="1" w:after="100" w:afterAutospacing="1"/>
              <w:jc w:val="both"/>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Primary</w:t>
            </w:r>
          </w:p>
        </w:tc>
        <w:tc>
          <w:tcPr>
            <w:tcW w:w="809" w:type="dxa"/>
          </w:tcPr>
          <w:p w14:paraId="33EC118F"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0.96</w:t>
            </w:r>
          </w:p>
        </w:tc>
        <w:tc>
          <w:tcPr>
            <w:tcW w:w="808" w:type="dxa"/>
          </w:tcPr>
          <w:p w14:paraId="026A6223"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0.96</w:t>
            </w:r>
          </w:p>
        </w:tc>
        <w:tc>
          <w:tcPr>
            <w:tcW w:w="808" w:type="dxa"/>
          </w:tcPr>
          <w:p w14:paraId="46437B42"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0.96</w:t>
            </w:r>
          </w:p>
        </w:tc>
        <w:tc>
          <w:tcPr>
            <w:tcW w:w="808" w:type="dxa"/>
          </w:tcPr>
          <w:p w14:paraId="25DC62B4"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1.00</w:t>
            </w:r>
          </w:p>
        </w:tc>
        <w:tc>
          <w:tcPr>
            <w:tcW w:w="808" w:type="dxa"/>
          </w:tcPr>
          <w:p w14:paraId="12C36810"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0.99</w:t>
            </w:r>
          </w:p>
        </w:tc>
        <w:tc>
          <w:tcPr>
            <w:tcW w:w="808" w:type="dxa"/>
          </w:tcPr>
          <w:p w14:paraId="6D7BEB07"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0.97</w:t>
            </w:r>
          </w:p>
        </w:tc>
        <w:tc>
          <w:tcPr>
            <w:tcW w:w="808" w:type="dxa"/>
          </w:tcPr>
          <w:p w14:paraId="45F454BE"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0.99</w:t>
            </w:r>
          </w:p>
        </w:tc>
        <w:tc>
          <w:tcPr>
            <w:tcW w:w="808" w:type="dxa"/>
          </w:tcPr>
          <w:p w14:paraId="4963D7C3"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0.99</w:t>
            </w:r>
          </w:p>
        </w:tc>
        <w:tc>
          <w:tcPr>
            <w:tcW w:w="1802" w:type="dxa"/>
          </w:tcPr>
          <w:p w14:paraId="16592C68"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1</w:t>
            </w:r>
          </w:p>
        </w:tc>
      </w:tr>
      <w:tr w:rsidR="0083382C" w:rsidRPr="00DE2F7B" w14:paraId="02F773E2" w14:textId="77777777" w:rsidTr="00413B98">
        <w:trPr>
          <w:trHeight w:val="192"/>
        </w:trPr>
        <w:tc>
          <w:tcPr>
            <w:cnfStyle w:val="001000000000" w:firstRow="0" w:lastRow="0" w:firstColumn="1" w:lastColumn="0" w:oddVBand="0" w:evenVBand="0" w:oddHBand="0" w:evenHBand="0" w:firstRowFirstColumn="0" w:firstRowLastColumn="0" w:lastRowFirstColumn="0" w:lastRowLastColumn="0"/>
            <w:tcW w:w="1084" w:type="dxa"/>
          </w:tcPr>
          <w:p w14:paraId="60B7D859" w14:textId="77777777" w:rsidR="0083382C" w:rsidRPr="00DE2F7B" w:rsidRDefault="0083382C" w:rsidP="00C754D4">
            <w:pPr>
              <w:spacing w:before="100" w:beforeAutospacing="1" w:after="100" w:afterAutospacing="1"/>
              <w:jc w:val="both"/>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Secondary</w:t>
            </w:r>
          </w:p>
        </w:tc>
        <w:tc>
          <w:tcPr>
            <w:tcW w:w="809" w:type="dxa"/>
          </w:tcPr>
          <w:p w14:paraId="07F3BC8E" w14:textId="77777777" w:rsidR="0083382C" w:rsidRPr="00DE2F7B" w:rsidRDefault="0083382C" w:rsidP="00C754D4">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0.80</w:t>
            </w:r>
          </w:p>
        </w:tc>
        <w:tc>
          <w:tcPr>
            <w:tcW w:w="808" w:type="dxa"/>
          </w:tcPr>
          <w:p w14:paraId="2C954E7B" w14:textId="77777777" w:rsidR="0083382C" w:rsidRPr="00DE2F7B" w:rsidRDefault="0083382C" w:rsidP="00C754D4">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0.83</w:t>
            </w:r>
          </w:p>
        </w:tc>
        <w:tc>
          <w:tcPr>
            <w:tcW w:w="808" w:type="dxa"/>
          </w:tcPr>
          <w:p w14:paraId="76F095AE" w14:textId="77777777" w:rsidR="0083382C" w:rsidRPr="00DE2F7B" w:rsidRDefault="0083382C" w:rsidP="00C754D4">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0.82</w:t>
            </w:r>
          </w:p>
        </w:tc>
        <w:tc>
          <w:tcPr>
            <w:tcW w:w="808" w:type="dxa"/>
          </w:tcPr>
          <w:p w14:paraId="06AB1B9E" w14:textId="77777777" w:rsidR="0083382C" w:rsidRPr="00DE2F7B" w:rsidRDefault="0083382C" w:rsidP="00C754D4">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0.93</w:t>
            </w:r>
          </w:p>
        </w:tc>
        <w:tc>
          <w:tcPr>
            <w:tcW w:w="808" w:type="dxa"/>
          </w:tcPr>
          <w:p w14:paraId="6D4F22FC" w14:textId="77777777" w:rsidR="0083382C" w:rsidRPr="00DE2F7B" w:rsidRDefault="0083382C" w:rsidP="00C754D4">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0.86</w:t>
            </w:r>
          </w:p>
        </w:tc>
        <w:tc>
          <w:tcPr>
            <w:tcW w:w="808" w:type="dxa"/>
          </w:tcPr>
          <w:p w14:paraId="0FFE0C4B" w14:textId="77777777" w:rsidR="0083382C" w:rsidRPr="00DE2F7B" w:rsidRDefault="0083382C" w:rsidP="00C754D4">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0.82</w:t>
            </w:r>
          </w:p>
        </w:tc>
        <w:tc>
          <w:tcPr>
            <w:tcW w:w="808" w:type="dxa"/>
          </w:tcPr>
          <w:p w14:paraId="202A5EB5" w14:textId="77777777" w:rsidR="0083382C" w:rsidRPr="00DE2F7B" w:rsidRDefault="0083382C" w:rsidP="00C754D4">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0.80</w:t>
            </w:r>
          </w:p>
        </w:tc>
        <w:tc>
          <w:tcPr>
            <w:tcW w:w="808" w:type="dxa"/>
          </w:tcPr>
          <w:p w14:paraId="148007D8" w14:textId="77777777" w:rsidR="0083382C" w:rsidRPr="00DE2F7B" w:rsidRDefault="0083382C" w:rsidP="00C754D4">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0.84</w:t>
            </w:r>
          </w:p>
        </w:tc>
        <w:tc>
          <w:tcPr>
            <w:tcW w:w="1802" w:type="dxa"/>
          </w:tcPr>
          <w:p w14:paraId="0EB9A4E4" w14:textId="77777777" w:rsidR="0083382C" w:rsidRPr="00DE2F7B" w:rsidRDefault="0083382C" w:rsidP="00C754D4">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DE2F7B">
              <w:rPr>
                <w:rFonts w:ascii="Times New Roman" w:eastAsia="Times New Roman" w:hAnsi="Times New Roman" w:cs="Times New Roman"/>
                <w:sz w:val="18"/>
                <w:szCs w:val="18"/>
              </w:rPr>
              <w:t>1</w:t>
            </w:r>
          </w:p>
        </w:tc>
      </w:tr>
      <w:tr w:rsidR="0083382C" w:rsidRPr="00DE2F7B" w14:paraId="2BE9F079" w14:textId="77777777" w:rsidTr="00413B98">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084" w:type="dxa"/>
          </w:tcPr>
          <w:p w14:paraId="6A25494A" w14:textId="77777777" w:rsidR="0083382C" w:rsidRPr="00DE2F7B" w:rsidRDefault="0083382C" w:rsidP="00C754D4">
            <w:pPr>
              <w:spacing w:before="100" w:beforeAutospacing="1" w:after="100" w:afterAutospacing="1"/>
              <w:jc w:val="both"/>
              <w:rPr>
                <w:rFonts w:ascii="Times New Roman" w:eastAsia="Times New Roman" w:hAnsi="Times New Roman" w:cs="Times New Roman"/>
              </w:rPr>
            </w:pPr>
          </w:p>
        </w:tc>
        <w:tc>
          <w:tcPr>
            <w:tcW w:w="809" w:type="dxa"/>
          </w:tcPr>
          <w:p w14:paraId="337991D3"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c>
          <w:tcPr>
            <w:tcW w:w="808" w:type="dxa"/>
          </w:tcPr>
          <w:p w14:paraId="59DC1262"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c>
          <w:tcPr>
            <w:tcW w:w="808" w:type="dxa"/>
          </w:tcPr>
          <w:p w14:paraId="6ABA256C"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c>
          <w:tcPr>
            <w:tcW w:w="808" w:type="dxa"/>
          </w:tcPr>
          <w:p w14:paraId="023A88B0"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c>
          <w:tcPr>
            <w:tcW w:w="808" w:type="dxa"/>
          </w:tcPr>
          <w:p w14:paraId="1A9A835C"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c>
          <w:tcPr>
            <w:tcW w:w="808" w:type="dxa"/>
          </w:tcPr>
          <w:p w14:paraId="34AE1579"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c>
          <w:tcPr>
            <w:tcW w:w="808" w:type="dxa"/>
          </w:tcPr>
          <w:p w14:paraId="157AA484"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c>
          <w:tcPr>
            <w:tcW w:w="808" w:type="dxa"/>
          </w:tcPr>
          <w:p w14:paraId="1D062277"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c>
          <w:tcPr>
            <w:tcW w:w="1802" w:type="dxa"/>
          </w:tcPr>
          <w:p w14:paraId="0F64DFCA" w14:textId="77777777" w:rsidR="0083382C" w:rsidRPr="00DE2F7B" w:rsidRDefault="0083382C" w:rsidP="00C754D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r>
    </w:tbl>
    <w:p w14:paraId="48BB0C40" w14:textId="5742EB34" w:rsidR="0083382C" w:rsidRPr="001058FB" w:rsidRDefault="001058FB" w:rsidP="0083382C">
      <w:pPr>
        <w:pStyle w:val="NoSpacing"/>
        <w:rPr>
          <w:rFonts w:ascii="Times New Roman" w:hAnsi="Times New Roman" w:cs="Times New Roman"/>
        </w:rPr>
      </w:pPr>
      <w:r w:rsidRPr="001058FB">
        <w:rPr>
          <w:rFonts w:ascii="Times New Roman" w:hAnsi="Times New Roman" w:cs="Times New Roman"/>
          <w:b/>
          <w:u w:val="single"/>
        </w:rPr>
        <w:t>Source</w:t>
      </w:r>
      <w:r w:rsidRPr="001058FB">
        <w:rPr>
          <w:rFonts w:ascii="Times New Roman" w:hAnsi="Times New Roman" w:cs="Times New Roman"/>
          <w:b/>
        </w:rPr>
        <w:t>:</w:t>
      </w:r>
      <w:r>
        <w:rPr>
          <w:rFonts w:ascii="Times New Roman" w:hAnsi="Times New Roman" w:cs="Times New Roman"/>
        </w:rPr>
        <w:t xml:space="preserve"> Ministry of Education (</w:t>
      </w:r>
      <w:r w:rsidRPr="001058FB">
        <w:rPr>
          <w:rFonts w:ascii="Times New Roman" w:hAnsi="Times New Roman" w:cs="Times New Roman"/>
        </w:rPr>
        <w:t>2014)</w:t>
      </w:r>
      <w:r w:rsidR="003A3C41">
        <w:rPr>
          <w:rFonts w:ascii="Times New Roman" w:hAnsi="Times New Roman" w:cs="Times New Roman"/>
        </w:rPr>
        <w:t>.</w:t>
      </w:r>
    </w:p>
    <w:p w14:paraId="4AD1D93A" w14:textId="77777777" w:rsidR="00413B98" w:rsidRDefault="00413B98" w:rsidP="0083382C">
      <w:pPr>
        <w:pStyle w:val="NoSpacing"/>
      </w:pPr>
    </w:p>
    <w:p w14:paraId="70665039" w14:textId="77777777" w:rsidR="00AF3E96" w:rsidRDefault="00AF3E96" w:rsidP="0083382C">
      <w:pPr>
        <w:pStyle w:val="NoSpacing"/>
      </w:pPr>
    </w:p>
    <w:p w14:paraId="20208688" w14:textId="77777777" w:rsidR="00AF3E96" w:rsidRDefault="00AF3E96" w:rsidP="0083382C">
      <w:pPr>
        <w:pStyle w:val="NoSpacing"/>
      </w:pPr>
    </w:p>
    <w:p w14:paraId="1AD5D192" w14:textId="77777777" w:rsidR="00AF3E96" w:rsidRDefault="00AF3E96" w:rsidP="0083382C">
      <w:pPr>
        <w:pStyle w:val="NoSpacing"/>
      </w:pPr>
    </w:p>
    <w:p w14:paraId="17D5906E" w14:textId="77777777" w:rsidR="00AF3E96" w:rsidRDefault="00AF3E96" w:rsidP="0083382C">
      <w:pPr>
        <w:pStyle w:val="NoSpacing"/>
      </w:pPr>
    </w:p>
    <w:p w14:paraId="77127CE3" w14:textId="77777777" w:rsidR="00AF3E96" w:rsidRDefault="00AF3E96" w:rsidP="0083382C">
      <w:pPr>
        <w:pStyle w:val="NoSpacing"/>
      </w:pPr>
    </w:p>
    <w:p w14:paraId="1B4E01C2" w14:textId="77777777" w:rsidR="00AF3E96" w:rsidRDefault="00AF3E96" w:rsidP="0083382C">
      <w:pPr>
        <w:pStyle w:val="NoSpacing"/>
      </w:pPr>
    </w:p>
    <w:p w14:paraId="1AA63B88" w14:textId="77777777" w:rsidR="00AF3E96" w:rsidRDefault="00AF3E96" w:rsidP="0083382C">
      <w:pPr>
        <w:pStyle w:val="NoSpacing"/>
      </w:pPr>
    </w:p>
    <w:p w14:paraId="764691E4" w14:textId="77777777" w:rsidR="00AF3E96" w:rsidRDefault="00AF3E96" w:rsidP="0083382C">
      <w:pPr>
        <w:pStyle w:val="NoSpacing"/>
      </w:pPr>
    </w:p>
    <w:p w14:paraId="0C57CE98" w14:textId="77777777" w:rsidR="00AF3E96" w:rsidRDefault="00AF3E96" w:rsidP="0083382C">
      <w:pPr>
        <w:pStyle w:val="NoSpacing"/>
      </w:pPr>
    </w:p>
    <w:p w14:paraId="1F9D4CF3" w14:textId="77777777" w:rsidR="00AF3E96" w:rsidRDefault="00AF3E96" w:rsidP="0083382C">
      <w:pPr>
        <w:pStyle w:val="NoSpacing"/>
      </w:pPr>
    </w:p>
    <w:p w14:paraId="709DD4CD" w14:textId="77777777" w:rsidR="00AF3E96" w:rsidRDefault="00AF3E96" w:rsidP="0083382C">
      <w:pPr>
        <w:pStyle w:val="NoSpacing"/>
      </w:pPr>
    </w:p>
    <w:p w14:paraId="6F876813" w14:textId="2277829B" w:rsidR="0083382C" w:rsidRPr="00413B98" w:rsidRDefault="00C754D4" w:rsidP="00413B98">
      <w:pPr>
        <w:pStyle w:val="NoSpacing"/>
        <w:rPr>
          <w:rFonts w:ascii="Times New Roman" w:hAnsi="Times New Roman" w:cs="Times New Roman"/>
          <w:b/>
          <w:sz w:val="24"/>
          <w:szCs w:val="24"/>
        </w:rPr>
      </w:pPr>
      <w:r>
        <w:rPr>
          <w:rFonts w:ascii="Times New Roman" w:hAnsi="Times New Roman" w:cs="Times New Roman"/>
          <w:b/>
          <w:sz w:val="24"/>
          <w:szCs w:val="24"/>
        </w:rPr>
        <w:t xml:space="preserve">Figure </w:t>
      </w:r>
      <w:r w:rsidR="001058FB">
        <w:rPr>
          <w:rFonts w:ascii="Times New Roman" w:hAnsi="Times New Roman" w:cs="Times New Roman"/>
          <w:b/>
          <w:sz w:val="24"/>
          <w:szCs w:val="24"/>
        </w:rPr>
        <w:t>3.6</w:t>
      </w:r>
      <w:r w:rsidR="00413B98" w:rsidRPr="00413B98">
        <w:rPr>
          <w:rFonts w:ascii="Times New Roman" w:hAnsi="Times New Roman" w:cs="Times New Roman"/>
          <w:b/>
          <w:sz w:val="24"/>
          <w:szCs w:val="24"/>
        </w:rPr>
        <w:t>: Gender Parity Ratios – Primary and Secondary Level 2006 – 2013</w:t>
      </w:r>
    </w:p>
    <w:p w14:paraId="38B09138" w14:textId="77777777" w:rsidR="0083382C" w:rsidRDefault="0083382C" w:rsidP="00413B98">
      <w:pPr>
        <w:spacing w:before="100" w:beforeAutospacing="1" w:after="100" w:afterAutospacing="1" w:line="240" w:lineRule="auto"/>
        <w:jc w:val="both"/>
        <w:rPr>
          <w:rFonts w:ascii="Times New Roman" w:eastAsia="Times New Roman" w:hAnsi="Times New Roman" w:cs="Times New Roman"/>
          <w:b/>
          <w:i/>
        </w:rPr>
      </w:pPr>
      <w:r w:rsidRPr="00DE2F7B">
        <w:rPr>
          <w:rFonts w:ascii="Times New Roman" w:hAnsi="Times New Roman" w:cs="Times New Roman"/>
          <w:noProof/>
          <w:lang w:val="en-US"/>
        </w:rPr>
        <w:drawing>
          <wp:inline distT="0" distB="0" distL="0" distR="0" wp14:anchorId="57E740A3" wp14:editId="5DA78F85">
            <wp:extent cx="5505450" cy="2316480"/>
            <wp:effectExtent l="0" t="0" r="0" b="762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8BFF5F8" w14:textId="31DBC5E0" w:rsidR="00413B98" w:rsidRPr="001058FB" w:rsidRDefault="001058FB" w:rsidP="00413B98">
      <w:pPr>
        <w:spacing w:before="100" w:beforeAutospacing="1" w:after="100" w:afterAutospacing="1" w:line="240" w:lineRule="auto"/>
        <w:jc w:val="both"/>
        <w:rPr>
          <w:rFonts w:ascii="Times New Roman" w:eastAsia="Times New Roman" w:hAnsi="Times New Roman" w:cs="Times New Roman"/>
          <w:b/>
        </w:rPr>
      </w:pPr>
      <w:r w:rsidRPr="001058FB">
        <w:rPr>
          <w:rFonts w:ascii="Times New Roman" w:eastAsia="Times New Roman" w:hAnsi="Times New Roman" w:cs="Times New Roman"/>
          <w:b/>
          <w:u w:val="single"/>
        </w:rPr>
        <w:t>Source</w:t>
      </w:r>
      <w:r>
        <w:rPr>
          <w:rFonts w:ascii="Times New Roman" w:eastAsia="Times New Roman" w:hAnsi="Times New Roman" w:cs="Times New Roman"/>
          <w:b/>
        </w:rPr>
        <w:t xml:space="preserve">: </w:t>
      </w:r>
      <w:r w:rsidR="003A3C41">
        <w:rPr>
          <w:rFonts w:ascii="Times New Roman" w:eastAsia="Times New Roman" w:hAnsi="Times New Roman" w:cs="Times New Roman"/>
        </w:rPr>
        <w:t>Ministry of Education (</w:t>
      </w:r>
      <w:r w:rsidRPr="003A3C41">
        <w:rPr>
          <w:rFonts w:ascii="Times New Roman" w:eastAsia="Times New Roman" w:hAnsi="Times New Roman" w:cs="Times New Roman"/>
        </w:rPr>
        <w:t>2014</w:t>
      </w:r>
      <w:r w:rsidR="003A3C41">
        <w:rPr>
          <w:rFonts w:ascii="Times New Roman" w:eastAsia="Times New Roman" w:hAnsi="Times New Roman" w:cs="Times New Roman"/>
        </w:rPr>
        <w:t>).</w:t>
      </w:r>
    </w:p>
    <w:p w14:paraId="274C2920" w14:textId="41508589" w:rsidR="0083382C" w:rsidRPr="00413B98" w:rsidRDefault="0083382C" w:rsidP="00413B98">
      <w:pPr>
        <w:spacing w:line="360" w:lineRule="auto"/>
        <w:jc w:val="both"/>
        <w:rPr>
          <w:rFonts w:ascii="Times New Roman" w:hAnsi="Times New Roman" w:cs="Times New Roman"/>
          <w:sz w:val="24"/>
          <w:szCs w:val="24"/>
        </w:rPr>
      </w:pPr>
      <w:r w:rsidRPr="0083382C">
        <w:rPr>
          <w:rFonts w:ascii="Times New Roman" w:hAnsi="Times New Roman" w:cs="Times New Roman"/>
          <w:sz w:val="24"/>
          <w:szCs w:val="24"/>
        </w:rPr>
        <w:t>Gender parity in tertiary education has remained almost unchanged from 2005 (0.74 percent) to 2009 (0.75 percent). Many young women do not enrol in colleges and university, or find it difficult to continue attending classes after getting married or becoming pregnant. However, within some tertiary institutions, such as the University of Zambia, great improveme</w:t>
      </w:r>
      <w:r w:rsidR="001058FB">
        <w:rPr>
          <w:rFonts w:ascii="Times New Roman" w:hAnsi="Times New Roman" w:cs="Times New Roman"/>
          <w:sz w:val="24"/>
          <w:szCs w:val="24"/>
        </w:rPr>
        <w:t>nts have been made</w:t>
      </w:r>
      <w:r w:rsidRPr="0083382C">
        <w:rPr>
          <w:rFonts w:ascii="Times New Roman" w:hAnsi="Times New Roman" w:cs="Times New Roman"/>
          <w:sz w:val="24"/>
          <w:szCs w:val="24"/>
        </w:rPr>
        <w:t>. The obvious exception is the Copperbelt University, which had a ratio of females to males of 0.39 in 2011. This is likely to be caused by this institution offering primarily scientific and mathematical courses.</w:t>
      </w:r>
    </w:p>
    <w:p w14:paraId="2FD27808" w14:textId="11193504" w:rsidR="001C7505" w:rsidRPr="00DC1AC8" w:rsidRDefault="00AF3E96" w:rsidP="001C7505">
      <w:pPr>
        <w:pStyle w:val="Heading3"/>
        <w:rPr>
          <w:rFonts w:ascii="Times New Roman" w:hAnsi="Times New Roman" w:cs="Times New Roman"/>
        </w:rPr>
      </w:pPr>
      <w:bookmarkStart w:id="35" w:name="_Toc458687358"/>
      <w:r>
        <w:rPr>
          <w:rFonts w:ascii="Times New Roman" w:hAnsi="Times New Roman" w:cs="Times New Roman"/>
          <w:lang w:val="en-US" w:eastAsia="en-GB"/>
        </w:rPr>
        <w:t xml:space="preserve">3.2.6 </w:t>
      </w:r>
      <w:r>
        <w:rPr>
          <w:rFonts w:ascii="Times New Roman" w:hAnsi="Times New Roman" w:cs="Times New Roman"/>
          <w:lang w:val="en-US" w:eastAsia="en-GB"/>
        </w:rPr>
        <w:tab/>
        <w:t>Quality of E</w:t>
      </w:r>
      <w:r w:rsidR="001C7505" w:rsidRPr="00DC1AC8">
        <w:rPr>
          <w:rFonts w:ascii="Times New Roman" w:hAnsi="Times New Roman" w:cs="Times New Roman"/>
          <w:lang w:val="en-US" w:eastAsia="en-GB"/>
        </w:rPr>
        <w:t>ducation</w:t>
      </w:r>
      <w:bookmarkEnd w:id="35"/>
    </w:p>
    <w:p w14:paraId="3853A8B8" w14:textId="77777777" w:rsidR="00EF7252" w:rsidRDefault="00EF7252" w:rsidP="00EF7252">
      <w:pPr>
        <w:autoSpaceDE w:val="0"/>
        <w:autoSpaceDN w:val="0"/>
        <w:adjustRightInd w:val="0"/>
        <w:spacing w:after="0" w:line="240" w:lineRule="auto"/>
        <w:rPr>
          <w:rFonts w:ascii="TimesNewRomanPSMT,BoldItalic" w:hAnsi="TimesNewRomanPSMT,BoldItalic" w:cs="TimesNewRomanPSMT,BoldItalic"/>
          <w:b/>
          <w:bCs/>
          <w:i/>
          <w:iCs/>
          <w:sz w:val="24"/>
          <w:szCs w:val="24"/>
        </w:rPr>
      </w:pPr>
    </w:p>
    <w:p w14:paraId="7C7C5E33" w14:textId="77777777" w:rsidR="00DC1AC8" w:rsidRPr="00DC1AC8" w:rsidRDefault="00EF7252" w:rsidP="00DC1AC8">
      <w:pPr>
        <w:autoSpaceDE w:val="0"/>
        <w:autoSpaceDN w:val="0"/>
        <w:adjustRightInd w:val="0"/>
        <w:spacing w:after="0" w:line="360" w:lineRule="auto"/>
        <w:jc w:val="both"/>
        <w:rPr>
          <w:rFonts w:ascii="TimesNewRomanPSMT,BoldItalic" w:hAnsi="TimesNewRomanPSMT,BoldItalic" w:cs="TimesNewRomanPSMT,BoldItalic"/>
          <w:bCs/>
          <w:iCs/>
          <w:sz w:val="24"/>
          <w:szCs w:val="24"/>
        </w:rPr>
      </w:pPr>
      <w:r w:rsidRPr="003A3C41">
        <w:rPr>
          <w:rFonts w:ascii="Times New Roman" w:hAnsi="Times New Roman" w:cs="Times New Roman"/>
          <w:bCs/>
          <w:iCs/>
        </w:rPr>
        <w:t>The sixth EFA goal was about improving all aspects of the quality of education and ensuring excellence of all so that recognized and measurable learning outcomes are achieved by all, especially in literacy, numeracy and essential life skills.</w:t>
      </w:r>
      <w:r w:rsidR="00DC1AC8" w:rsidRPr="003A3C41">
        <w:rPr>
          <w:rFonts w:ascii="Times New Roman" w:hAnsi="Times New Roman" w:cs="Times New Roman"/>
          <w:bCs/>
          <w:iCs/>
        </w:rPr>
        <w:t xml:space="preserve"> </w:t>
      </w:r>
      <w:r w:rsidRPr="003A3C41">
        <w:rPr>
          <w:rFonts w:ascii="Times New Roman" w:hAnsi="Times New Roman" w:cs="Times New Roman"/>
        </w:rPr>
        <w:t>Zambia concedes that although significant progress has been registered in the expansion of primary and secondary enrolment rates and gender equality at primary school level, the quality of education has suffered.</w:t>
      </w:r>
      <w:r w:rsidR="00DC1AC8" w:rsidRPr="003A3C41">
        <w:rPr>
          <w:rFonts w:ascii="Times New Roman" w:hAnsi="Times New Roman" w:cs="Times New Roman"/>
          <w:bCs/>
          <w:iCs/>
        </w:rPr>
        <w:t xml:space="preserve"> Incidentally, </w:t>
      </w:r>
      <w:r w:rsidR="00DC1AC8" w:rsidRPr="003A3C41">
        <w:rPr>
          <w:rFonts w:ascii="Times New Roman" w:hAnsi="Times New Roman" w:cs="Times New Roman"/>
        </w:rPr>
        <w:t>despite Zambia’s success in expanding access to education, the country has routinely ranked at the bottom in terms of academic achievement as measured by standardised national and regional</w:t>
      </w:r>
      <w:r w:rsidR="00DC1AC8" w:rsidRPr="003A3C41">
        <w:rPr>
          <w:rFonts w:ascii="Times New Roman" w:hAnsi="Times New Roman" w:cs="Times New Roman"/>
          <w:bCs/>
          <w:iCs/>
        </w:rPr>
        <w:t xml:space="preserve"> </w:t>
      </w:r>
      <w:r w:rsidR="00DC1AC8" w:rsidRPr="003A3C41">
        <w:rPr>
          <w:rFonts w:ascii="Times New Roman" w:hAnsi="Times New Roman" w:cs="Times New Roman"/>
        </w:rPr>
        <w:t>testing. As the 2012 Grade Five National Assessment (G5NA) indicates, pupils consistently</w:t>
      </w:r>
      <w:r w:rsidR="00DC1AC8" w:rsidRPr="003A3C41">
        <w:rPr>
          <w:rFonts w:ascii="Times New Roman" w:hAnsi="Times New Roman" w:cs="Times New Roman"/>
          <w:bCs/>
          <w:iCs/>
        </w:rPr>
        <w:t xml:space="preserve"> </w:t>
      </w:r>
      <w:r w:rsidR="00DC1AC8" w:rsidRPr="003A3C41">
        <w:rPr>
          <w:rFonts w:ascii="Times New Roman" w:hAnsi="Times New Roman" w:cs="Times New Roman"/>
        </w:rPr>
        <w:t>score below the 40th percentile, the minimum performance standard established by the</w:t>
      </w:r>
      <w:r w:rsidR="00DC1AC8" w:rsidRPr="003A3C41">
        <w:rPr>
          <w:rFonts w:ascii="Times New Roman" w:hAnsi="Times New Roman" w:cs="Times New Roman"/>
          <w:bCs/>
          <w:iCs/>
        </w:rPr>
        <w:t xml:space="preserve"> </w:t>
      </w:r>
      <w:r w:rsidR="00DC1AC8" w:rsidRPr="003A3C41">
        <w:rPr>
          <w:rFonts w:ascii="Times New Roman" w:hAnsi="Times New Roman" w:cs="Times New Roman"/>
        </w:rPr>
        <w:t>Ministry of Education. Mean scores in 2012 recorded include 35.3 per cent in reading in English; 39.4</w:t>
      </w:r>
      <w:r w:rsidR="00DC1AC8" w:rsidRPr="003A3C41">
        <w:rPr>
          <w:rFonts w:ascii="Times New Roman" w:hAnsi="Times New Roman" w:cs="Times New Roman"/>
          <w:bCs/>
          <w:iCs/>
        </w:rPr>
        <w:t xml:space="preserve"> </w:t>
      </w:r>
      <w:r w:rsidR="00DC1AC8" w:rsidRPr="003A3C41">
        <w:rPr>
          <w:rFonts w:ascii="Times New Roman" w:hAnsi="Times New Roman" w:cs="Times New Roman"/>
        </w:rPr>
        <w:t>per cent in mathematics; 40.2 per cent in life skills; and 39.4 per cent in Zambian languages</w:t>
      </w:r>
      <w:r w:rsidR="00DC1AC8">
        <w:rPr>
          <w:rFonts w:ascii="Times New Roman" w:hAnsi="Times New Roman" w:cs="Times New Roman"/>
          <w:sz w:val="23"/>
          <w:szCs w:val="23"/>
        </w:rPr>
        <w:t>.</w:t>
      </w:r>
    </w:p>
    <w:p w14:paraId="4A36D60B" w14:textId="77777777" w:rsidR="00DC1AC8" w:rsidRDefault="00DC1AC8" w:rsidP="00DC1AC8">
      <w:pPr>
        <w:autoSpaceDE w:val="0"/>
        <w:autoSpaceDN w:val="0"/>
        <w:adjustRightInd w:val="0"/>
        <w:spacing w:after="0" w:line="360" w:lineRule="auto"/>
        <w:jc w:val="both"/>
        <w:rPr>
          <w:rFonts w:ascii="Times New Roman" w:hAnsi="Times New Roman" w:cs="Times New Roman"/>
          <w:sz w:val="23"/>
          <w:szCs w:val="23"/>
        </w:rPr>
      </w:pPr>
    </w:p>
    <w:p w14:paraId="34BE463A" w14:textId="77777777" w:rsidR="001C7505" w:rsidRPr="003A1B2C" w:rsidRDefault="00DC1AC8" w:rsidP="00DC1AC8">
      <w:pPr>
        <w:autoSpaceDE w:val="0"/>
        <w:autoSpaceDN w:val="0"/>
        <w:adjustRightInd w:val="0"/>
        <w:spacing w:after="0" w:line="360" w:lineRule="auto"/>
        <w:jc w:val="both"/>
        <w:rPr>
          <w:rFonts w:ascii="TimesNewRomanPSMT" w:hAnsi="TimesNewRomanPSMT" w:cs="TimesNewRomanPSMT"/>
          <w:sz w:val="24"/>
          <w:szCs w:val="24"/>
        </w:rPr>
      </w:pPr>
      <w:r>
        <w:rPr>
          <w:rFonts w:ascii="Times New Roman" w:hAnsi="Times New Roman" w:cs="Times New Roman"/>
          <w:sz w:val="23"/>
          <w:szCs w:val="23"/>
        </w:rPr>
        <w:t>This pattern of results has persisted over the past decade. Regionally, the Southern and Eastern Africa Consortium for Monitoring Educational Quality (SACMEQ) shows that Zambian learners are performing at levels far lower than their regional counterparts. In 2007, for example, Zambia’s learners scored an average of 434 in reading and 435 in mathematics on the SACMEQ assessment, well below the international mean of 500.</w:t>
      </w:r>
    </w:p>
    <w:p w14:paraId="0298FDEF" w14:textId="77777777" w:rsidR="00EF7252" w:rsidRPr="00EF7252" w:rsidRDefault="00EF7252" w:rsidP="00EF7252">
      <w:pPr>
        <w:rPr>
          <w:highlight w:val="yellow"/>
          <w:lang w:val="en-US"/>
        </w:rPr>
      </w:pPr>
    </w:p>
    <w:p w14:paraId="42526BA7" w14:textId="77777777" w:rsidR="008E77E9" w:rsidRPr="008E77E9" w:rsidRDefault="00081EE8" w:rsidP="00081DD9">
      <w:pPr>
        <w:pStyle w:val="Heading2"/>
        <w:spacing w:line="360" w:lineRule="auto"/>
        <w:rPr>
          <w:rFonts w:ascii="Times New Roman" w:eastAsia="Times New Roman" w:hAnsi="Times New Roman" w:cs="Times New Roman"/>
          <w:color w:val="0B0C0C"/>
          <w:sz w:val="24"/>
          <w:szCs w:val="24"/>
          <w:lang w:eastAsia="en-GB"/>
        </w:rPr>
      </w:pPr>
      <w:bookmarkStart w:id="36" w:name="_Toc458687359"/>
      <w:r w:rsidRPr="00DC1AC8">
        <w:rPr>
          <w:rFonts w:ascii="Times New Roman" w:hAnsi="Times New Roman" w:cs="Times New Roman"/>
          <w:lang w:val="en-US"/>
        </w:rPr>
        <w:t>3.3</w:t>
      </w:r>
      <w:r w:rsidRPr="00DC1AC8">
        <w:rPr>
          <w:rFonts w:ascii="Times New Roman" w:hAnsi="Times New Roman" w:cs="Times New Roman"/>
          <w:lang w:val="en-US"/>
        </w:rPr>
        <w:tab/>
      </w:r>
      <w:r w:rsidR="00AF38E9" w:rsidRPr="00DC1AC8">
        <w:rPr>
          <w:rFonts w:ascii="Times New Roman" w:hAnsi="Times New Roman" w:cs="Times New Roman"/>
          <w:lang w:val="en-US"/>
        </w:rPr>
        <w:t xml:space="preserve"> Main Education</w:t>
      </w:r>
      <w:r w:rsidR="00081DD9" w:rsidRPr="00DC1AC8">
        <w:rPr>
          <w:rFonts w:ascii="Times New Roman" w:hAnsi="Times New Roman" w:cs="Times New Roman"/>
          <w:lang w:val="en-US"/>
        </w:rPr>
        <w:t xml:space="preserve"> </w:t>
      </w:r>
      <w:r w:rsidR="00424738" w:rsidRPr="00DC1AC8">
        <w:rPr>
          <w:rFonts w:ascii="Times New Roman" w:hAnsi="Times New Roman" w:cs="Times New Roman"/>
          <w:lang w:val="en-US"/>
        </w:rPr>
        <w:t xml:space="preserve">Gaps: </w:t>
      </w:r>
      <w:bookmarkEnd w:id="32"/>
      <w:r w:rsidR="00081DD9">
        <w:rPr>
          <w:rFonts w:ascii="Times New Roman" w:hAnsi="Times New Roman" w:cs="Times New Roman"/>
          <w:lang w:val="en-US"/>
        </w:rPr>
        <w:t xml:space="preserve"> </w:t>
      </w:r>
      <w:r w:rsidR="00AF38E9">
        <w:rPr>
          <w:rFonts w:ascii="Times New Roman" w:hAnsi="Times New Roman" w:cs="Times New Roman"/>
          <w:lang w:val="en-US"/>
        </w:rPr>
        <w:t>A Summation</w:t>
      </w:r>
      <w:bookmarkEnd w:id="36"/>
    </w:p>
    <w:p w14:paraId="6EF8B77D" w14:textId="182DC83A" w:rsidR="00AF38E9" w:rsidRPr="00C754D4" w:rsidRDefault="00DC1AC8" w:rsidP="00DC1AC8">
      <w:pPr>
        <w:autoSpaceDE w:val="0"/>
        <w:autoSpaceDN w:val="0"/>
        <w:adjustRightInd w:val="0"/>
        <w:spacing w:after="0" w:line="360" w:lineRule="auto"/>
        <w:contextualSpacing/>
        <w:jc w:val="both"/>
        <w:rPr>
          <w:rFonts w:ascii="Times New Roman" w:hAnsi="Times New Roman" w:cs="Times New Roman"/>
          <w:iCs/>
          <w:sz w:val="24"/>
          <w:szCs w:val="24"/>
        </w:rPr>
      </w:pPr>
      <w:r w:rsidRPr="00C754D4">
        <w:rPr>
          <w:rFonts w:ascii="Times New Roman" w:hAnsi="Times New Roman" w:cs="Times New Roman"/>
          <w:iCs/>
          <w:sz w:val="24"/>
          <w:szCs w:val="24"/>
        </w:rPr>
        <w:t>The following key education gaps stand out from the discussion</w:t>
      </w:r>
      <w:r w:rsidR="008C3778">
        <w:rPr>
          <w:rFonts w:ascii="Times New Roman" w:hAnsi="Times New Roman" w:cs="Times New Roman"/>
          <w:iCs/>
          <w:sz w:val="24"/>
          <w:szCs w:val="24"/>
        </w:rPr>
        <w:t>:</w:t>
      </w:r>
    </w:p>
    <w:p w14:paraId="56A434BD" w14:textId="7E8E9A3B" w:rsidR="00DC1AC8" w:rsidRDefault="00AF3E96" w:rsidP="00A60BD4">
      <w:pPr>
        <w:numPr>
          <w:ilvl w:val="0"/>
          <w:numId w:val="8"/>
        </w:numPr>
        <w:autoSpaceDE w:val="0"/>
        <w:autoSpaceDN w:val="0"/>
        <w:adjustRightInd w:val="0"/>
        <w:spacing w:after="0" w:line="360"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t>ECCDE G</w:t>
      </w:r>
      <w:r w:rsidR="00DC1AC8" w:rsidRPr="00C754D4">
        <w:rPr>
          <w:rFonts w:ascii="Times New Roman" w:hAnsi="Times New Roman" w:cs="Times New Roman"/>
          <w:b/>
          <w:iCs/>
          <w:sz w:val="24"/>
          <w:szCs w:val="24"/>
        </w:rPr>
        <w:t>ap</w:t>
      </w:r>
    </w:p>
    <w:p w14:paraId="414C0D45" w14:textId="45F7828F" w:rsidR="008C3778" w:rsidRPr="008C3778" w:rsidRDefault="008C3778" w:rsidP="008C3778">
      <w:pPr>
        <w:autoSpaceDE w:val="0"/>
        <w:autoSpaceDN w:val="0"/>
        <w:adjustRightInd w:val="0"/>
        <w:spacing w:after="0" w:line="360" w:lineRule="auto"/>
        <w:contextualSpacing/>
        <w:jc w:val="both"/>
        <w:rPr>
          <w:rFonts w:ascii="Times New Roman" w:hAnsi="Times New Roman" w:cs="Times New Roman"/>
          <w:iCs/>
          <w:sz w:val="24"/>
          <w:szCs w:val="24"/>
        </w:rPr>
      </w:pPr>
      <w:r w:rsidRPr="008C3778">
        <w:rPr>
          <w:rFonts w:ascii="Times New Roman" w:hAnsi="Times New Roman" w:cs="Times New Roman"/>
          <w:iCs/>
          <w:sz w:val="24"/>
          <w:szCs w:val="24"/>
        </w:rPr>
        <w:t>Early childhood care and development education remains a glaring gap in the Zambian education system.</w:t>
      </w:r>
      <w:r>
        <w:rPr>
          <w:rFonts w:ascii="Times New Roman" w:hAnsi="Times New Roman" w:cs="Times New Roman"/>
          <w:iCs/>
          <w:sz w:val="24"/>
          <w:szCs w:val="24"/>
        </w:rPr>
        <w:t xml:space="preserve"> Demand exists but supply at the official government level remains negligible. This continues to pose a major challenge to learning outcomes and the future of the national economy.</w:t>
      </w:r>
      <w:r w:rsidR="008E7026">
        <w:rPr>
          <w:rFonts w:ascii="Times New Roman" w:hAnsi="Times New Roman" w:cs="Times New Roman"/>
          <w:iCs/>
          <w:sz w:val="24"/>
          <w:szCs w:val="24"/>
        </w:rPr>
        <w:t xml:space="preserve"> Thus, access to ECCDE continues to be hampered by the inadequacy of ECCDE services in the country.</w:t>
      </w:r>
    </w:p>
    <w:p w14:paraId="74881A16" w14:textId="7B2368BD" w:rsidR="00E13D3B" w:rsidRPr="00C754D4" w:rsidRDefault="00AF3E96" w:rsidP="00A60BD4">
      <w:pPr>
        <w:numPr>
          <w:ilvl w:val="0"/>
          <w:numId w:val="8"/>
        </w:numPr>
        <w:autoSpaceDE w:val="0"/>
        <w:autoSpaceDN w:val="0"/>
        <w:adjustRightInd w:val="0"/>
        <w:spacing w:after="0" w:line="360"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t>The Sustainability of the Free Primary Education P</w:t>
      </w:r>
      <w:r w:rsidR="00E13D3B" w:rsidRPr="00C754D4">
        <w:rPr>
          <w:rFonts w:ascii="Times New Roman" w:hAnsi="Times New Roman" w:cs="Times New Roman"/>
          <w:b/>
          <w:iCs/>
          <w:sz w:val="24"/>
          <w:szCs w:val="24"/>
        </w:rPr>
        <w:t xml:space="preserve">olicy </w:t>
      </w:r>
    </w:p>
    <w:p w14:paraId="486090C7" w14:textId="43587127" w:rsidR="008C3778" w:rsidRPr="00C754D4" w:rsidRDefault="00E13D3B" w:rsidP="00A60BD4">
      <w:pPr>
        <w:autoSpaceDE w:val="0"/>
        <w:autoSpaceDN w:val="0"/>
        <w:adjustRightInd w:val="0"/>
        <w:spacing w:after="0" w:line="360" w:lineRule="auto"/>
        <w:jc w:val="both"/>
        <w:rPr>
          <w:rFonts w:ascii="Times New Roman" w:hAnsi="Times New Roman" w:cs="Times New Roman"/>
          <w:sz w:val="24"/>
          <w:szCs w:val="24"/>
        </w:rPr>
      </w:pPr>
      <w:r w:rsidRPr="00C754D4">
        <w:rPr>
          <w:rFonts w:ascii="Times New Roman" w:hAnsi="Times New Roman" w:cs="Times New Roman"/>
          <w:sz w:val="24"/>
          <w:szCs w:val="24"/>
        </w:rPr>
        <w:t>The sustainability of free primary education remains questionable. Schools are still faced with many costs, such as for purchasing learning materials and maintenance. In urban areas, schools confront additional expenses for water and electricity. Further, education grants have decreased over time and become more erratic as t</w:t>
      </w:r>
      <w:r w:rsidR="008C3778">
        <w:rPr>
          <w:rFonts w:ascii="Times New Roman" w:hAnsi="Times New Roman" w:cs="Times New Roman"/>
          <w:sz w:val="24"/>
          <w:szCs w:val="24"/>
        </w:rPr>
        <w:t>he number of schools increase</w:t>
      </w:r>
      <w:r w:rsidR="00BC7351" w:rsidRPr="00C754D4">
        <w:rPr>
          <w:rFonts w:ascii="Times New Roman" w:hAnsi="Times New Roman" w:cs="Times New Roman"/>
          <w:sz w:val="24"/>
          <w:szCs w:val="24"/>
        </w:rPr>
        <w:t>.</w:t>
      </w:r>
    </w:p>
    <w:p w14:paraId="3B8CF387" w14:textId="6842E25E" w:rsidR="00E13D3B" w:rsidRPr="00C754D4" w:rsidRDefault="00AF3E96" w:rsidP="00A60BD4">
      <w:pPr>
        <w:numPr>
          <w:ilvl w:val="0"/>
          <w:numId w:val="8"/>
        </w:numPr>
        <w:autoSpaceDE w:val="0"/>
        <w:autoSpaceDN w:val="0"/>
        <w:adjustRightInd w:val="0"/>
        <w:spacing w:after="0" w:line="360"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t>Post-basic E</w:t>
      </w:r>
      <w:r w:rsidR="00E13D3B" w:rsidRPr="00C754D4">
        <w:rPr>
          <w:rFonts w:ascii="Times New Roman" w:hAnsi="Times New Roman" w:cs="Times New Roman"/>
          <w:b/>
          <w:iCs/>
          <w:sz w:val="24"/>
          <w:szCs w:val="24"/>
        </w:rPr>
        <w:t xml:space="preserve">ducation </w:t>
      </w:r>
      <w:r>
        <w:rPr>
          <w:rFonts w:ascii="Times New Roman" w:hAnsi="Times New Roman" w:cs="Times New Roman"/>
          <w:b/>
          <w:iCs/>
          <w:sz w:val="24"/>
          <w:szCs w:val="24"/>
        </w:rPr>
        <w:t>G</w:t>
      </w:r>
      <w:r w:rsidR="00DC1AC8" w:rsidRPr="00C754D4">
        <w:rPr>
          <w:rFonts w:ascii="Times New Roman" w:hAnsi="Times New Roman" w:cs="Times New Roman"/>
          <w:b/>
          <w:iCs/>
          <w:sz w:val="24"/>
          <w:szCs w:val="24"/>
        </w:rPr>
        <w:t>ap</w:t>
      </w:r>
    </w:p>
    <w:p w14:paraId="296767CC" w14:textId="5D1C1977" w:rsidR="00E13D3B" w:rsidRPr="00C754D4" w:rsidRDefault="00E13D3B" w:rsidP="00A60BD4">
      <w:pPr>
        <w:autoSpaceDE w:val="0"/>
        <w:autoSpaceDN w:val="0"/>
        <w:adjustRightInd w:val="0"/>
        <w:spacing w:after="0" w:line="360" w:lineRule="auto"/>
        <w:jc w:val="both"/>
        <w:rPr>
          <w:rFonts w:ascii="Times New Roman" w:hAnsi="Times New Roman" w:cs="Times New Roman"/>
          <w:sz w:val="24"/>
          <w:szCs w:val="24"/>
        </w:rPr>
      </w:pPr>
      <w:r w:rsidRPr="00C754D4">
        <w:rPr>
          <w:rFonts w:ascii="Times New Roman" w:hAnsi="Times New Roman" w:cs="Times New Roman"/>
          <w:color w:val="000000"/>
          <w:sz w:val="24"/>
          <w:szCs w:val="24"/>
        </w:rPr>
        <w:t xml:space="preserve">The strong emphasis on basic education since 1996 has meant that post-basic education has not received the attention required in terms of expansion, rehabilitation, educational material support or curriculum </w:t>
      </w:r>
      <w:r w:rsidR="008E7026">
        <w:rPr>
          <w:rFonts w:ascii="Times New Roman" w:hAnsi="Times New Roman" w:cs="Times New Roman"/>
          <w:color w:val="000000"/>
          <w:sz w:val="24"/>
          <w:szCs w:val="24"/>
        </w:rPr>
        <w:t>review. T</w:t>
      </w:r>
      <w:r w:rsidRPr="00C754D4">
        <w:rPr>
          <w:rFonts w:ascii="Times New Roman" w:hAnsi="Times New Roman" w:cs="Times New Roman"/>
          <w:color w:val="000000"/>
          <w:sz w:val="24"/>
          <w:szCs w:val="24"/>
        </w:rPr>
        <w:t xml:space="preserve">he share of public expenditures allocated to post basic education fell significantly during the late 1990s, forcing high schools to become increasingly financially autonomous. Much higher fees were imposed, restricting access to high schools for the large majority of households. </w:t>
      </w:r>
      <w:r w:rsidRPr="00C754D4">
        <w:rPr>
          <w:rFonts w:ascii="Times New Roman" w:hAnsi="Times New Roman" w:cs="Times New Roman"/>
          <w:sz w:val="24"/>
          <w:szCs w:val="24"/>
        </w:rPr>
        <w:t>This has serious implications for the country’s service delivery capacity and consequently</w:t>
      </w:r>
      <w:r w:rsidR="00BC7351" w:rsidRPr="00C754D4">
        <w:rPr>
          <w:rFonts w:ascii="Times New Roman" w:hAnsi="Times New Roman" w:cs="Times New Roman"/>
          <w:sz w:val="24"/>
          <w:szCs w:val="24"/>
        </w:rPr>
        <w:t xml:space="preserve"> sustainable human development.</w:t>
      </w:r>
    </w:p>
    <w:p w14:paraId="7F05CA35" w14:textId="77777777" w:rsidR="00E13D3B" w:rsidRPr="00C754D4" w:rsidRDefault="00E13D3B" w:rsidP="00A60BD4">
      <w:pPr>
        <w:numPr>
          <w:ilvl w:val="0"/>
          <w:numId w:val="8"/>
        </w:numPr>
        <w:autoSpaceDE w:val="0"/>
        <w:autoSpaceDN w:val="0"/>
        <w:adjustRightInd w:val="0"/>
        <w:spacing w:after="0" w:line="360" w:lineRule="auto"/>
        <w:contextualSpacing/>
        <w:rPr>
          <w:rFonts w:ascii="Times New Roman" w:hAnsi="Times New Roman" w:cs="Times New Roman"/>
          <w:b/>
          <w:iCs/>
          <w:sz w:val="24"/>
          <w:szCs w:val="24"/>
        </w:rPr>
      </w:pPr>
      <w:r w:rsidRPr="00C754D4">
        <w:rPr>
          <w:rFonts w:ascii="Times New Roman" w:hAnsi="Times New Roman" w:cs="Times New Roman"/>
          <w:b/>
          <w:iCs/>
          <w:sz w:val="24"/>
          <w:szCs w:val="24"/>
        </w:rPr>
        <w:t>Quality of Education Services</w:t>
      </w:r>
      <w:r w:rsidR="008E77E9" w:rsidRPr="00C754D4">
        <w:rPr>
          <w:rFonts w:ascii="Times New Roman" w:hAnsi="Times New Roman" w:cs="Times New Roman"/>
          <w:b/>
          <w:iCs/>
          <w:sz w:val="24"/>
          <w:szCs w:val="24"/>
        </w:rPr>
        <w:t xml:space="preserve"> gap</w:t>
      </w:r>
      <w:r w:rsidRPr="00C754D4">
        <w:rPr>
          <w:rFonts w:ascii="Times New Roman" w:hAnsi="Times New Roman" w:cs="Times New Roman"/>
          <w:b/>
          <w:iCs/>
          <w:sz w:val="24"/>
          <w:szCs w:val="24"/>
        </w:rPr>
        <w:t xml:space="preserve"> </w:t>
      </w:r>
    </w:p>
    <w:p w14:paraId="44A66741" w14:textId="70794512" w:rsidR="00E13D3B" w:rsidRPr="00C754D4" w:rsidRDefault="00E13D3B" w:rsidP="00A60BD4">
      <w:pPr>
        <w:autoSpaceDE w:val="0"/>
        <w:autoSpaceDN w:val="0"/>
        <w:adjustRightInd w:val="0"/>
        <w:spacing w:after="0" w:line="360" w:lineRule="auto"/>
        <w:jc w:val="both"/>
        <w:rPr>
          <w:rFonts w:ascii="Times New Roman" w:hAnsi="Times New Roman" w:cs="Times New Roman"/>
          <w:color w:val="000000"/>
          <w:sz w:val="24"/>
          <w:szCs w:val="24"/>
        </w:rPr>
      </w:pPr>
      <w:r w:rsidRPr="00C754D4">
        <w:rPr>
          <w:rFonts w:ascii="Times New Roman" w:hAnsi="Times New Roman" w:cs="Times New Roman"/>
          <w:color w:val="000000"/>
          <w:sz w:val="24"/>
          <w:szCs w:val="24"/>
        </w:rPr>
        <w:t>Though substantial efforts have been made to deliver the required inputs for a well-functioning school system, interventions have been insufficient to enable the quality of services to keep up with the growth in enrolment. Some of the measures implemented included increasing the supply of qualified and motivated teachers, changing the curriculum to provide necessary skills and knowledge, creating effective administration, optimizing instructional time, and increasing the supply of teaching and learning materials. The school system failed to motivate</w:t>
      </w:r>
      <w:r w:rsidR="008E7026">
        <w:rPr>
          <w:rFonts w:ascii="Times New Roman" w:hAnsi="Times New Roman" w:cs="Times New Roman"/>
          <w:color w:val="000000"/>
          <w:sz w:val="24"/>
          <w:szCs w:val="24"/>
        </w:rPr>
        <w:t xml:space="preserve"> </w:t>
      </w:r>
      <w:r w:rsidRPr="00C754D4">
        <w:rPr>
          <w:rFonts w:ascii="Times New Roman" w:hAnsi="Times New Roman" w:cs="Times New Roman"/>
          <w:color w:val="000000"/>
          <w:sz w:val="24"/>
          <w:szCs w:val="24"/>
        </w:rPr>
        <w:t>both service providers and clients, however, and provide them with the means to hold the school system accountable. The quality of</w:t>
      </w:r>
      <w:r w:rsidR="00BC7351" w:rsidRPr="00C754D4">
        <w:rPr>
          <w:rFonts w:ascii="Times New Roman" w:hAnsi="Times New Roman" w:cs="Times New Roman"/>
          <w:color w:val="000000"/>
          <w:sz w:val="24"/>
          <w:szCs w:val="24"/>
        </w:rPr>
        <w:t xml:space="preserve"> learning has been compromised.</w:t>
      </w:r>
    </w:p>
    <w:p w14:paraId="3ED403E0" w14:textId="4E81DF7F" w:rsidR="00E13D3B" w:rsidRPr="00C754D4" w:rsidRDefault="00F251E8" w:rsidP="00A60BD4">
      <w:pPr>
        <w:numPr>
          <w:ilvl w:val="0"/>
          <w:numId w:val="8"/>
        </w:numPr>
        <w:autoSpaceDE w:val="0"/>
        <w:autoSpaceDN w:val="0"/>
        <w:adjustRightInd w:val="0"/>
        <w:spacing w:after="0" w:line="360" w:lineRule="auto"/>
        <w:contextualSpacing/>
        <w:rPr>
          <w:rFonts w:ascii="Times New Roman" w:hAnsi="Times New Roman" w:cs="Times New Roman"/>
          <w:b/>
          <w:iCs/>
          <w:sz w:val="24"/>
          <w:szCs w:val="24"/>
        </w:rPr>
      </w:pPr>
      <w:r>
        <w:rPr>
          <w:rFonts w:ascii="Times New Roman" w:hAnsi="Times New Roman" w:cs="Times New Roman"/>
          <w:b/>
          <w:iCs/>
          <w:sz w:val="24"/>
          <w:szCs w:val="24"/>
        </w:rPr>
        <w:t>Learning A</w:t>
      </w:r>
      <w:r w:rsidR="00E13D3B" w:rsidRPr="00C754D4">
        <w:rPr>
          <w:rFonts w:ascii="Times New Roman" w:hAnsi="Times New Roman" w:cs="Times New Roman"/>
          <w:b/>
          <w:iCs/>
          <w:sz w:val="24"/>
          <w:szCs w:val="24"/>
        </w:rPr>
        <w:t>chievements</w:t>
      </w:r>
      <w:r>
        <w:rPr>
          <w:rFonts w:ascii="Times New Roman" w:hAnsi="Times New Roman" w:cs="Times New Roman"/>
          <w:b/>
          <w:iCs/>
          <w:sz w:val="24"/>
          <w:szCs w:val="24"/>
        </w:rPr>
        <w:t xml:space="preserve"> G</w:t>
      </w:r>
      <w:r w:rsidR="008E77E9" w:rsidRPr="00C754D4">
        <w:rPr>
          <w:rFonts w:ascii="Times New Roman" w:hAnsi="Times New Roman" w:cs="Times New Roman"/>
          <w:b/>
          <w:iCs/>
          <w:sz w:val="24"/>
          <w:szCs w:val="24"/>
        </w:rPr>
        <w:t>ap</w:t>
      </w:r>
    </w:p>
    <w:p w14:paraId="66A58B5A" w14:textId="76276899" w:rsidR="00E13D3B" w:rsidRPr="00C754D4" w:rsidRDefault="00E13D3B" w:rsidP="00BC7351">
      <w:pPr>
        <w:autoSpaceDE w:val="0"/>
        <w:autoSpaceDN w:val="0"/>
        <w:adjustRightInd w:val="0"/>
        <w:spacing w:after="0" w:line="360" w:lineRule="auto"/>
        <w:jc w:val="both"/>
        <w:rPr>
          <w:rFonts w:ascii="Times New Roman" w:hAnsi="Times New Roman" w:cs="Times New Roman"/>
          <w:color w:val="000000"/>
          <w:sz w:val="24"/>
          <w:szCs w:val="24"/>
        </w:rPr>
      </w:pPr>
      <w:r w:rsidRPr="00C754D4">
        <w:rPr>
          <w:rFonts w:ascii="Times New Roman" w:hAnsi="Times New Roman" w:cs="Times New Roman"/>
          <w:color w:val="000000"/>
          <w:sz w:val="24"/>
          <w:szCs w:val="24"/>
        </w:rPr>
        <w:t>Successive surveys reveal low achievements in pupil performance in reading in</w:t>
      </w:r>
      <w:r w:rsidR="008E7026">
        <w:rPr>
          <w:rFonts w:ascii="Times New Roman" w:hAnsi="Times New Roman" w:cs="Times New Roman"/>
          <w:color w:val="000000"/>
          <w:sz w:val="24"/>
          <w:szCs w:val="24"/>
        </w:rPr>
        <w:t xml:space="preserve"> English and mathematics</w:t>
      </w:r>
      <w:r w:rsidRPr="00C754D4">
        <w:rPr>
          <w:rFonts w:ascii="Times New Roman" w:hAnsi="Times New Roman" w:cs="Times New Roman"/>
          <w:color w:val="000000"/>
          <w:sz w:val="24"/>
          <w:szCs w:val="24"/>
        </w:rPr>
        <w:t>.  The findings also indicate that few pupils have attained full mastery of skills at the grade five level. This has led the Government to change the language policy, so the language of instruction in grades one and two is the familiar Zambian language of a given area, while the pupils learn English as a second language. The language of instruction from grade three onwards is English, which continues to be taught alongside Zambian languages. Among the factors that explain weak learning achievement is underinvestment over a number of years in the instructional dimension o</w:t>
      </w:r>
      <w:r w:rsidR="008E7026">
        <w:rPr>
          <w:rFonts w:ascii="Times New Roman" w:hAnsi="Times New Roman" w:cs="Times New Roman"/>
          <w:color w:val="000000"/>
          <w:sz w:val="24"/>
          <w:szCs w:val="24"/>
        </w:rPr>
        <w:t>f education</w:t>
      </w:r>
      <w:r w:rsidR="00BC7351" w:rsidRPr="00C754D4">
        <w:rPr>
          <w:rFonts w:ascii="Times New Roman" w:hAnsi="Times New Roman" w:cs="Times New Roman"/>
          <w:color w:val="000000"/>
          <w:sz w:val="24"/>
          <w:szCs w:val="24"/>
        </w:rPr>
        <w:t xml:space="preserve">. </w:t>
      </w:r>
    </w:p>
    <w:p w14:paraId="77DFF9DF" w14:textId="1B4BD404" w:rsidR="00E13D3B" w:rsidRPr="00C754D4" w:rsidRDefault="008E77E9" w:rsidP="00A60BD4">
      <w:pPr>
        <w:numPr>
          <w:ilvl w:val="0"/>
          <w:numId w:val="8"/>
        </w:numPr>
        <w:autoSpaceDE w:val="0"/>
        <w:autoSpaceDN w:val="0"/>
        <w:adjustRightInd w:val="0"/>
        <w:spacing w:after="0" w:line="360" w:lineRule="auto"/>
        <w:contextualSpacing/>
        <w:jc w:val="both"/>
        <w:rPr>
          <w:rFonts w:ascii="Times New Roman" w:hAnsi="Times New Roman" w:cs="Times New Roman"/>
          <w:b/>
          <w:iCs/>
          <w:sz w:val="24"/>
          <w:szCs w:val="24"/>
        </w:rPr>
      </w:pPr>
      <w:r w:rsidRPr="00C754D4">
        <w:rPr>
          <w:rFonts w:ascii="Times New Roman" w:hAnsi="Times New Roman" w:cs="Times New Roman"/>
          <w:b/>
          <w:iCs/>
          <w:sz w:val="24"/>
          <w:szCs w:val="24"/>
        </w:rPr>
        <w:t xml:space="preserve"> S</w:t>
      </w:r>
      <w:r w:rsidR="00E13D3B" w:rsidRPr="00C754D4">
        <w:rPr>
          <w:rFonts w:ascii="Times New Roman" w:hAnsi="Times New Roman" w:cs="Times New Roman"/>
          <w:b/>
          <w:iCs/>
          <w:sz w:val="24"/>
          <w:szCs w:val="24"/>
        </w:rPr>
        <w:t xml:space="preserve">kills </w:t>
      </w:r>
      <w:r w:rsidR="00F251E8">
        <w:rPr>
          <w:rFonts w:ascii="Times New Roman" w:hAnsi="Times New Roman" w:cs="Times New Roman"/>
          <w:b/>
          <w:iCs/>
          <w:sz w:val="24"/>
          <w:szCs w:val="24"/>
        </w:rPr>
        <w:t xml:space="preserve"> G</w:t>
      </w:r>
      <w:r w:rsidRPr="00C754D4">
        <w:rPr>
          <w:rFonts w:ascii="Times New Roman" w:hAnsi="Times New Roman" w:cs="Times New Roman"/>
          <w:b/>
          <w:iCs/>
          <w:sz w:val="24"/>
          <w:szCs w:val="24"/>
        </w:rPr>
        <w:t>aps</w:t>
      </w:r>
    </w:p>
    <w:p w14:paraId="6681DBB7" w14:textId="77777777" w:rsidR="00E13D3B" w:rsidRPr="00C754D4" w:rsidRDefault="00E13D3B" w:rsidP="00A60BD4">
      <w:pPr>
        <w:autoSpaceDE w:val="0"/>
        <w:autoSpaceDN w:val="0"/>
        <w:adjustRightInd w:val="0"/>
        <w:spacing w:after="0" w:line="360" w:lineRule="auto"/>
        <w:jc w:val="both"/>
        <w:rPr>
          <w:rFonts w:ascii="Times New Roman" w:hAnsi="Times New Roman" w:cs="Times New Roman"/>
          <w:sz w:val="24"/>
          <w:szCs w:val="24"/>
        </w:rPr>
      </w:pPr>
      <w:r w:rsidRPr="00C754D4">
        <w:rPr>
          <w:rFonts w:ascii="Times New Roman" w:hAnsi="Times New Roman" w:cs="Times New Roman"/>
          <w:sz w:val="24"/>
          <w:szCs w:val="24"/>
        </w:rPr>
        <w:t>There has been a mismatch between the expansion of basic education, development of skills and the demand for labour in the economy. Low quality education achievements at a basic level produce a labour force difficult to employ, educate and train further. Other issues of concern are the brain drain, the inability of available skills to influence growth and poverty reduction in Zambia, and the slow pace of increase</w:t>
      </w:r>
      <w:r w:rsidR="00081DD9" w:rsidRPr="00C754D4">
        <w:rPr>
          <w:rFonts w:ascii="Times New Roman" w:hAnsi="Times New Roman" w:cs="Times New Roman"/>
          <w:sz w:val="24"/>
          <w:szCs w:val="24"/>
        </w:rPr>
        <w:t xml:space="preserve"> in essential skills.</w:t>
      </w:r>
    </w:p>
    <w:p w14:paraId="1ED6F77D" w14:textId="007413F4" w:rsidR="00E13D3B" w:rsidRPr="00C754D4" w:rsidRDefault="00F251E8" w:rsidP="00A60BD4">
      <w:pPr>
        <w:numPr>
          <w:ilvl w:val="0"/>
          <w:numId w:val="8"/>
        </w:numPr>
        <w:autoSpaceDE w:val="0"/>
        <w:autoSpaceDN w:val="0"/>
        <w:adjustRightInd w:val="0"/>
        <w:spacing w:after="0" w:line="360"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t>Infrastructure G</w:t>
      </w:r>
      <w:r w:rsidR="00DC1AC8" w:rsidRPr="00C754D4">
        <w:rPr>
          <w:rFonts w:ascii="Times New Roman" w:hAnsi="Times New Roman" w:cs="Times New Roman"/>
          <w:b/>
          <w:iCs/>
          <w:sz w:val="24"/>
          <w:szCs w:val="24"/>
        </w:rPr>
        <w:t>ap</w:t>
      </w:r>
    </w:p>
    <w:p w14:paraId="37E1417D" w14:textId="77777777" w:rsidR="00424738" w:rsidRPr="00C754D4" w:rsidRDefault="00E13D3B" w:rsidP="00081DD9">
      <w:pPr>
        <w:autoSpaceDE w:val="0"/>
        <w:autoSpaceDN w:val="0"/>
        <w:adjustRightInd w:val="0"/>
        <w:spacing w:after="0" w:line="360" w:lineRule="auto"/>
        <w:jc w:val="both"/>
        <w:rPr>
          <w:rFonts w:ascii="Times New Roman" w:hAnsi="Times New Roman" w:cs="Times New Roman"/>
          <w:sz w:val="24"/>
          <w:szCs w:val="24"/>
        </w:rPr>
      </w:pPr>
      <w:r w:rsidRPr="00C754D4">
        <w:rPr>
          <w:rFonts w:ascii="Times New Roman" w:hAnsi="Times New Roman" w:cs="Times New Roman"/>
          <w:sz w:val="24"/>
          <w:szCs w:val="24"/>
        </w:rPr>
        <w:t>The rapid growth in enrolment has been supported by the completion of about 900 new classrooms each year at new and existing schools. Despite this remarkable growth, the lack of infrastructure constitutes a major constraint in Zambia. Overcrowding in classrooms continues to constraint</w:t>
      </w:r>
      <w:r w:rsidR="00BC7351" w:rsidRPr="00C754D4">
        <w:rPr>
          <w:rFonts w:ascii="Times New Roman" w:hAnsi="Times New Roman" w:cs="Times New Roman"/>
          <w:sz w:val="24"/>
          <w:szCs w:val="24"/>
        </w:rPr>
        <w:t xml:space="preserve"> the effectiveness of learning.</w:t>
      </w:r>
      <w:bookmarkEnd w:id="33"/>
    </w:p>
    <w:p w14:paraId="518C52AA" w14:textId="7A4BAA6F" w:rsidR="00081DD9" w:rsidRPr="008E7026" w:rsidRDefault="00F251E8" w:rsidP="00081DD9">
      <w:pPr>
        <w:pStyle w:val="ListParagraph"/>
        <w:numPr>
          <w:ilvl w:val="0"/>
          <w:numId w:val="8"/>
        </w:num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Post-primary School Gender G</w:t>
      </w:r>
      <w:r w:rsidR="00DC1AC8" w:rsidRPr="00C754D4">
        <w:rPr>
          <w:rFonts w:ascii="Times New Roman" w:hAnsi="Times New Roman" w:cs="Times New Roman"/>
          <w:b/>
          <w:sz w:val="24"/>
          <w:szCs w:val="24"/>
        </w:rPr>
        <w:t>ap</w:t>
      </w:r>
    </w:p>
    <w:p w14:paraId="0F4C14E9" w14:textId="5777B956" w:rsidR="006F2B78" w:rsidRDefault="008E7026" w:rsidP="00081DD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Despite notable progress in reducing the gender gap at primary school level, the continued existence of gender disparities at all post-primary school levels underscores the existence of  the gender gap in education in Zambia. </w:t>
      </w:r>
    </w:p>
    <w:p w14:paraId="36A213F7" w14:textId="77777777" w:rsidR="00426294" w:rsidRPr="00081DD9" w:rsidRDefault="00426294" w:rsidP="00081DD9">
      <w:pPr>
        <w:autoSpaceDE w:val="0"/>
        <w:autoSpaceDN w:val="0"/>
        <w:adjustRightInd w:val="0"/>
        <w:spacing w:after="0" w:line="360" w:lineRule="auto"/>
        <w:jc w:val="both"/>
        <w:rPr>
          <w:rFonts w:ascii="Times New Roman" w:hAnsi="Times New Roman" w:cs="Times New Roman"/>
          <w:sz w:val="24"/>
          <w:szCs w:val="24"/>
        </w:rPr>
      </w:pPr>
    </w:p>
    <w:p w14:paraId="24B0C3B0" w14:textId="56300B14" w:rsidR="009961AC" w:rsidRDefault="001A40D8" w:rsidP="00622AD1">
      <w:pPr>
        <w:pStyle w:val="Heading1"/>
        <w:spacing w:line="360" w:lineRule="auto"/>
        <w:rPr>
          <w:rFonts w:ascii="Times New Roman" w:hAnsi="Times New Roman" w:cs="Times New Roman"/>
        </w:rPr>
      </w:pPr>
      <w:bookmarkStart w:id="37" w:name="_Toc458687360"/>
      <w:r w:rsidRPr="004C75E0">
        <w:rPr>
          <w:rFonts w:ascii="Times New Roman" w:hAnsi="Times New Roman" w:cs="Times New Roman"/>
        </w:rPr>
        <w:t>4</w:t>
      </w:r>
      <w:r w:rsidR="00703DDD" w:rsidRPr="004C75E0">
        <w:rPr>
          <w:rFonts w:ascii="Times New Roman" w:hAnsi="Times New Roman" w:cs="Times New Roman"/>
        </w:rPr>
        <w:t>.</w:t>
      </w:r>
      <w:r w:rsidR="00671C54" w:rsidRPr="004C75E0">
        <w:rPr>
          <w:rFonts w:ascii="Times New Roman" w:hAnsi="Times New Roman" w:cs="Times New Roman"/>
        </w:rPr>
        <w:t xml:space="preserve">0:  </w:t>
      </w:r>
      <w:r w:rsidR="00291B12">
        <w:rPr>
          <w:rFonts w:ascii="Times New Roman" w:hAnsi="Times New Roman" w:cs="Times New Roman"/>
        </w:rPr>
        <w:t>Understanding Education F</w:t>
      </w:r>
      <w:r w:rsidRPr="004C75E0">
        <w:rPr>
          <w:rFonts w:ascii="Times New Roman" w:hAnsi="Times New Roman" w:cs="Times New Roman"/>
        </w:rPr>
        <w:t>inancin</w:t>
      </w:r>
      <w:r w:rsidR="006D7FB2" w:rsidRPr="004C75E0">
        <w:rPr>
          <w:rFonts w:ascii="Times New Roman" w:hAnsi="Times New Roman" w:cs="Times New Roman"/>
        </w:rPr>
        <w:t>g</w:t>
      </w:r>
      <w:r w:rsidRPr="004C75E0">
        <w:rPr>
          <w:rFonts w:ascii="Times New Roman" w:hAnsi="Times New Roman" w:cs="Times New Roman"/>
        </w:rPr>
        <w:t xml:space="preserve"> </w:t>
      </w:r>
      <w:r w:rsidR="00081DD9">
        <w:rPr>
          <w:rFonts w:ascii="Times New Roman" w:hAnsi="Times New Roman" w:cs="Times New Roman"/>
        </w:rPr>
        <w:t>in Zambia (</w:t>
      </w:r>
      <w:r w:rsidR="006D7FB2" w:rsidRPr="004C75E0">
        <w:rPr>
          <w:rFonts w:ascii="Times New Roman" w:hAnsi="Times New Roman" w:cs="Times New Roman"/>
        </w:rPr>
        <w:t>2010-2014)</w:t>
      </w:r>
      <w:bookmarkEnd w:id="37"/>
    </w:p>
    <w:p w14:paraId="50BE7BD9" w14:textId="77777777" w:rsidR="00426294" w:rsidRPr="00426294" w:rsidRDefault="00426294" w:rsidP="00426294"/>
    <w:p w14:paraId="142250AE" w14:textId="73FCC628" w:rsidR="00F209D0" w:rsidRPr="00B178A7" w:rsidRDefault="00F209D0" w:rsidP="00B178A7">
      <w:pPr>
        <w:pStyle w:val="ListParagraph"/>
        <w:numPr>
          <w:ilvl w:val="1"/>
          <w:numId w:val="26"/>
        </w:numPr>
        <w:spacing w:line="360" w:lineRule="auto"/>
        <w:jc w:val="both"/>
        <w:rPr>
          <w:rFonts w:ascii="Times New Roman" w:hAnsi="Times New Roman" w:cs="Times New Roman"/>
        </w:rPr>
      </w:pPr>
      <w:r w:rsidRPr="00F209D0">
        <w:rPr>
          <w:rStyle w:val="Heading2Char"/>
          <w:rFonts w:ascii="Times New Roman" w:hAnsi="Times New Roman" w:cs="Times New Roman"/>
        </w:rPr>
        <w:t xml:space="preserve">   </w:t>
      </w:r>
      <w:r w:rsidRPr="00F209D0">
        <w:rPr>
          <w:rStyle w:val="Heading2Char"/>
          <w:rFonts w:ascii="Times New Roman" w:hAnsi="Times New Roman" w:cs="Times New Roman"/>
        </w:rPr>
        <w:tab/>
      </w:r>
      <w:bookmarkStart w:id="38" w:name="_Toc458687361"/>
      <w:r w:rsidR="00291B12">
        <w:rPr>
          <w:rStyle w:val="Heading2Char"/>
          <w:rFonts w:ascii="Times New Roman" w:hAnsi="Times New Roman" w:cs="Times New Roman"/>
        </w:rPr>
        <w:t>Size and Focus of E</w:t>
      </w:r>
      <w:r w:rsidR="009961AC" w:rsidRPr="00F209D0">
        <w:rPr>
          <w:rStyle w:val="Heading2Char"/>
          <w:rFonts w:ascii="Times New Roman" w:hAnsi="Times New Roman" w:cs="Times New Roman"/>
        </w:rPr>
        <w:t xml:space="preserve">xternal </w:t>
      </w:r>
      <w:r w:rsidR="00291B12">
        <w:rPr>
          <w:rStyle w:val="Heading2Char"/>
          <w:rFonts w:ascii="Times New Roman" w:hAnsi="Times New Roman" w:cs="Times New Roman"/>
        </w:rPr>
        <w:t>Financing of E</w:t>
      </w:r>
      <w:r w:rsidR="001A40D8" w:rsidRPr="00F209D0">
        <w:rPr>
          <w:rStyle w:val="Heading2Char"/>
          <w:rFonts w:ascii="Times New Roman" w:hAnsi="Times New Roman" w:cs="Times New Roman"/>
        </w:rPr>
        <w:t>ducation in Zambia</w:t>
      </w:r>
      <w:r w:rsidR="009961AC" w:rsidRPr="00F209D0">
        <w:rPr>
          <w:rStyle w:val="Heading2Char"/>
          <w:rFonts w:ascii="Times New Roman" w:hAnsi="Times New Roman" w:cs="Times New Roman"/>
        </w:rPr>
        <w:t>, 2010</w:t>
      </w:r>
      <w:r w:rsidR="001A40D8" w:rsidRPr="00F209D0">
        <w:rPr>
          <w:rStyle w:val="Heading2Char"/>
          <w:rFonts w:ascii="Times New Roman" w:hAnsi="Times New Roman" w:cs="Times New Roman"/>
        </w:rPr>
        <w:t xml:space="preserve"> – </w:t>
      </w:r>
      <w:r w:rsidR="009961AC" w:rsidRPr="00F209D0">
        <w:rPr>
          <w:rStyle w:val="Heading2Char"/>
          <w:rFonts w:ascii="Times New Roman" w:hAnsi="Times New Roman" w:cs="Times New Roman"/>
        </w:rPr>
        <w:t>2014</w:t>
      </w:r>
      <w:bookmarkEnd w:id="38"/>
      <w:r w:rsidR="002353C2" w:rsidRPr="00F209D0">
        <w:rPr>
          <w:rFonts w:ascii="Times New Roman" w:hAnsi="Times New Roman" w:cs="Times New Roman"/>
        </w:rPr>
        <w:t xml:space="preserve"> </w:t>
      </w:r>
    </w:p>
    <w:p w14:paraId="31B9B26B" w14:textId="09DD8160" w:rsidR="008473FA" w:rsidRDefault="00B178A7" w:rsidP="00B178A7">
      <w:pPr>
        <w:spacing w:before="120" w:after="120" w:line="360" w:lineRule="auto"/>
        <w:jc w:val="both"/>
        <w:rPr>
          <w:rFonts w:ascii="Times New Roman" w:hAnsi="Times New Roman" w:cs="Times New Roman"/>
        </w:rPr>
      </w:pPr>
      <w:r w:rsidRPr="00B178A7">
        <w:rPr>
          <w:rFonts w:ascii="Times New Roman" w:hAnsi="Times New Roman" w:cs="Times New Roman"/>
        </w:rPr>
        <w:t xml:space="preserve">Various cooperating partners are </w:t>
      </w:r>
      <w:r w:rsidR="00622AD1">
        <w:rPr>
          <w:rFonts w:ascii="Times New Roman" w:hAnsi="Times New Roman" w:cs="Times New Roman"/>
        </w:rPr>
        <w:t xml:space="preserve">currently </w:t>
      </w:r>
      <w:r w:rsidRPr="00B178A7">
        <w:rPr>
          <w:rFonts w:ascii="Times New Roman" w:hAnsi="Times New Roman" w:cs="Times New Roman"/>
        </w:rPr>
        <w:t>involved</w:t>
      </w:r>
      <w:r w:rsidR="00622AD1">
        <w:rPr>
          <w:rFonts w:ascii="Times New Roman" w:hAnsi="Times New Roman" w:cs="Times New Roman"/>
        </w:rPr>
        <w:t xml:space="preserve"> in external</w:t>
      </w:r>
      <w:r w:rsidRPr="00B178A7">
        <w:rPr>
          <w:rFonts w:ascii="Times New Roman" w:hAnsi="Times New Roman" w:cs="Times New Roman"/>
        </w:rPr>
        <w:t xml:space="preserve"> </w:t>
      </w:r>
      <w:r w:rsidR="00622AD1">
        <w:rPr>
          <w:rFonts w:ascii="Times New Roman" w:hAnsi="Times New Roman" w:cs="Times New Roman"/>
        </w:rPr>
        <w:t>financing of education in Zambia</w:t>
      </w:r>
      <w:r w:rsidRPr="00B178A7">
        <w:rPr>
          <w:rFonts w:ascii="Times New Roman" w:hAnsi="Times New Roman" w:cs="Times New Roman"/>
        </w:rPr>
        <w:t>. Notable ones include Irish Aid, the British Department of International Development (DFID), the Japanese International Cooperation Agency (JICA), the United States Agency for International Development (USAID), The United Nations International Children’s Emergency Fund (UNICEF), The United Nations Education Scientific and Cultural Organi</w:t>
      </w:r>
      <w:r w:rsidR="00622AD1">
        <w:rPr>
          <w:rFonts w:ascii="Times New Roman" w:hAnsi="Times New Roman" w:cs="Times New Roman"/>
        </w:rPr>
        <w:t>sation (UNESCO) and the World Bank</w:t>
      </w:r>
      <w:r w:rsidRPr="00B178A7">
        <w:rPr>
          <w:rFonts w:ascii="Times New Roman" w:hAnsi="Times New Roman" w:cs="Times New Roman"/>
        </w:rPr>
        <w:t xml:space="preserve">. </w:t>
      </w:r>
      <w:r w:rsidR="00622AD1">
        <w:rPr>
          <w:rFonts w:ascii="Times New Roman" w:hAnsi="Times New Roman" w:cs="Times New Roman"/>
        </w:rPr>
        <w:t>In this context, t</w:t>
      </w:r>
      <w:r w:rsidRPr="00B178A7">
        <w:rPr>
          <w:rFonts w:ascii="Times New Roman" w:hAnsi="Times New Roman" w:cs="Times New Roman"/>
        </w:rPr>
        <w:t xml:space="preserve">he Global Partnership for Education (GPE) in 2013 approved the Ministry’s application </w:t>
      </w:r>
      <w:r w:rsidR="00622AD1">
        <w:rPr>
          <w:rFonts w:ascii="Times New Roman" w:hAnsi="Times New Roman" w:cs="Times New Roman"/>
        </w:rPr>
        <w:t>for funding amounting to US$35.2 m</w:t>
      </w:r>
      <w:r w:rsidRPr="00B178A7">
        <w:rPr>
          <w:rFonts w:ascii="Times New Roman" w:hAnsi="Times New Roman" w:cs="Times New Roman"/>
        </w:rPr>
        <w:t xml:space="preserve">illion for the period 2011 to 2015, with DFID as the supervising entity. </w:t>
      </w:r>
      <w:r w:rsidR="008473FA">
        <w:rPr>
          <w:rFonts w:ascii="Times New Roman" w:hAnsi="Times New Roman" w:cs="Times New Roman"/>
        </w:rPr>
        <w:t>T</w:t>
      </w:r>
      <w:r w:rsidRPr="00B178A7">
        <w:rPr>
          <w:rFonts w:ascii="Times New Roman" w:hAnsi="Times New Roman" w:cs="Times New Roman"/>
        </w:rPr>
        <w:t>able</w:t>
      </w:r>
      <w:r w:rsidR="003A3C41">
        <w:rPr>
          <w:rFonts w:ascii="Times New Roman" w:hAnsi="Times New Roman" w:cs="Times New Roman"/>
        </w:rPr>
        <w:t xml:space="preserve"> 3.8 </w:t>
      </w:r>
      <w:r w:rsidRPr="00B178A7">
        <w:rPr>
          <w:rFonts w:ascii="Times New Roman" w:hAnsi="Times New Roman" w:cs="Times New Roman"/>
        </w:rPr>
        <w:t>below provides a list of some of the key donors and amounts pledged towards the 2014 education sector budget.</w:t>
      </w:r>
    </w:p>
    <w:p w14:paraId="02E4C64C" w14:textId="77777777" w:rsidR="00426294" w:rsidRDefault="00426294" w:rsidP="00B178A7">
      <w:pPr>
        <w:spacing w:before="120" w:after="120" w:line="360" w:lineRule="auto"/>
        <w:jc w:val="both"/>
        <w:rPr>
          <w:rFonts w:ascii="Times New Roman" w:hAnsi="Times New Roman" w:cs="Times New Roman"/>
        </w:rPr>
      </w:pPr>
    </w:p>
    <w:p w14:paraId="46686E1E" w14:textId="77777777" w:rsidR="00426294" w:rsidRPr="00B178A7" w:rsidRDefault="00426294" w:rsidP="00B178A7">
      <w:pPr>
        <w:spacing w:before="120" w:after="120" w:line="360" w:lineRule="auto"/>
        <w:jc w:val="both"/>
        <w:rPr>
          <w:rFonts w:ascii="Times New Roman" w:hAnsi="Times New Roman" w:cs="Times New Roman"/>
        </w:rPr>
      </w:pPr>
    </w:p>
    <w:p w14:paraId="59A8C2F7" w14:textId="453A49E0" w:rsidR="00B178A7" w:rsidRPr="00B178A7" w:rsidRDefault="003A3C41" w:rsidP="00B178A7">
      <w:pPr>
        <w:spacing w:before="120" w:after="120" w:line="276" w:lineRule="auto"/>
        <w:jc w:val="both"/>
        <w:rPr>
          <w:rFonts w:ascii="Times New Roman" w:hAnsi="Times New Roman" w:cs="Times New Roman"/>
          <w:b/>
          <w:sz w:val="24"/>
          <w:szCs w:val="24"/>
        </w:rPr>
      </w:pPr>
      <w:r>
        <w:rPr>
          <w:rFonts w:ascii="Times New Roman" w:hAnsi="Times New Roman" w:cs="Times New Roman"/>
          <w:b/>
          <w:sz w:val="24"/>
          <w:szCs w:val="24"/>
        </w:rPr>
        <w:t>Table 3.8</w:t>
      </w:r>
      <w:r w:rsidR="00B178A7" w:rsidRPr="00B178A7">
        <w:rPr>
          <w:rFonts w:ascii="Times New Roman" w:hAnsi="Times New Roman" w:cs="Times New Roman"/>
          <w:b/>
          <w:sz w:val="24"/>
          <w:szCs w:val="24"/>
        </w:rPr>
        <w:t>: External Financing to the Educational Sector Budget, 2014</w:t>
      </w:r>
    </w:p>
    <w:tbl>
      <w:tblPr>
        <w:tblStyle w:val="PlainTable2"/>
        <w:tblW w:w="5000" w:type="pct"/>
        <w:tblLook w:val="04A0" w:firstRow="1" w:lastRow="0" w:firstColumn="1" w:lastColumn="0" w:noHBand="0" w:noVBand="1"/>
      </w:tblPr>
      <w:tblGrid>
        <w:gridCol w:w="793"/>
        <w:gridCol w:w="3037"/>
        <w:gridCol w:w="2377"/>
        <w:gridCol w:w="3035"/>
      </w:tblGrid>
      <w:tr w:rsidR="00B178A7" w:rsidRPr="00B178A7" w14:paraId="26B1905D" w14:textId="77777777" w:rsidTr="003A3C41">
        <w:trPr>
          <w:cnfStyle w:val="100000000000" w:firstRow="1" w:lastRow="0" w:firstColumn="0" w:lastColumn="0" w:oddVBand="0" w:evenVBand="0" w:oddHBand="0"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429" w:type="pct"/>
            <w:vMerge w:val="restart"/>
          </w:tcPr>
          <w:p w14:paraId="3A4C7278" w14:textId="77777777" w:rsidR="00B178A7" w:rsidRPr="00B178A7" w:rsidRDefault="00B178A7" w:rsidP="00B178A7">
            <w:pPr>
              <w:rPr>
                <w:rFonts w:ascii="Times New Roman" w:hAnsi="Times New Roman" w:cs="Times New Roman"/>
              </w:rPr>
            </w:pPr>
          </w:p>
        </w:tc>
        <w:tc>
          <w:tcPr>
            <w:tcW w:w="1643" w:type="pct"/>
            <w:vMerge w:val="restart"/>
          </w:tcPr>
          <w:p w14:paraId="21D03F49" w14:textId="77777777" w:rsidR="00B178A7" w:rsidRPr="00B178A7" w:rsidRDefault="00B178A7" w:rsidP="00B178A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14:paraId="4D189741" w14:textId="77777777" w:rsidR="00B178A7" w:rsidRPr="00B178A7" w:rsidRDefault="00B178A7" w:rsidP="00B178A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178A7">
              <w:rPr>
                <w:rFonts w:ascii="Times New Roman" w:hAnsi="Times New Roman" w:cs="Times New Roman"/>
              </w:rPr>
              <w:t>Source of funds</w:t>
            </w:r>
          </w:p>
        </w:tc>
        <w:tc>
          <w:tcPr>
            <w:tcW w:w="2929" w:type="pct"/>
            <w:gridSpan w:val="2"/>
          </w:tcPr>
          <w:p w14:paraId="436F7A3F" w14:textId="2830CC89" w:rsidR="00B178A7" w:rsidRPr="00B178A7" w:rsidRDefault="008473FA" w:rsidP="00B178A7">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2014  External Financing</w:t>
            </w:r>
            <w:r w:rsidR="00B178A7" w:rsidRPr="00B178A7">
              <w:rPr>
                <w:rFonts w:ascii="Times New Roman" w:hAnsi="Times New Roman" w:cs="Times New Roman"/>
              </w:rPr>
              <w:t xml:space="preserve"> Pledge</w:t>
            </w:r>
          </w:p>
        </w:tc>
      </w:tr>
      <w:tr w:rsidR="00B178A7" w:rsidRPr="00B178A7" w14:paraId="356585A3" w14:textId="77777777" w:rsidTr="003A3C41">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429" w:type="pct"/>
            <w:vMerge/>
          </w:tcPr>
          <w:p w14:paraId="04FC1296" w14:textId="77777777" w:rsidR="00B178A7" w:rsidRPr="00B178A7" w:rsidRDefault="00B178A7" w:rsidP="00B178A7">
            <w:pPr>
              <w:rPr>
                <w:rFonts w:ascii="Times New Roman" w:hAnsi="Times New Roman" w:cs="Times New Roman"/>
              </w:rPr>
            </w:pPr>
          </w:p>
        </w:tc>
        <w:tc>
          <w:tcPr>
            <w:tcW w:w="1643" w:type="pct"/>
            <w:vMerge/>
          </w:tcPr>
          <w:p w14:paraId="5561ACF4" w14:textId="77777777" w:rsidR="00B178A7" w:rsidRPr="00B178A7" w:rsidRDefault="00B178A7" w:rsidP="00B178A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tc>
        <w:tc>
          <w:tcPr>
            <w:tcW w:w="1286" w:type="pct"/>
          </w:tcPr>
          <w:p w14:paraId="1F34E9C7" w14:textId="77777777" w:rsidR="00B178A7" w:rsidRPr="00B178A7" w:rsidRDefault="00B178A7" w:rsidP="00B178A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178A7">
              <w:rPr>
                <w:rFonts w:ascii="Times New Roman" w:hAnsi="Times New Roman" w:cs="Times New Roman"/>
                <w:b/>
              </w:rPr>
              <w:t>USD</w:t>
            </w:r>
          </w:p>
        </w:tc>
        <w:tc>
          <w:tcPr>
            <w:tcW w:w="1643" w:type="pct"/>
          </w:tcPr>
          <w:p w14:paraId="4BF948AA" w14:textId="77777777" w:rsidR="00B178A7" w:rsidRPr="00B178A7" w:rsidRDefault="00B178A7" w:rsidP="00B178A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178A7">
              <w:rPr>
                <w:rFonts w:ascii="Times New Roman" w:hAnsi="Times New Roman" w:cs="Times New Roman"/>
                <w:b/>
              </w:rPr>
              <w:t>Total Pledges ZWK</w:t>
            </w:r>
          </w:p>
        </w:tc>
      </w:tr>
      <w:tr w:rsidR="00B178A7" w:rsidRPr="00B178A7" w14:paraId="1398C331" w14:textId="77777777" w:rsidTr="003A3C41">
        <w:tc>
          <w:tcPr>
            <w:cnfStyle w:val="001000000000" w:firstRow="0" w:lastRow="0" w:firstColumn="1" w:lastColumn="0" w:oddVBand="0" w:evenVBand="0" w:oddHBand="0" w:evenHBand="0" w:firstRowFirstColumn="0" w:firstRowLastColumn="0" w:lastRowFirstColumn="0" w:lastRowLastColumn="0"/>
            <w:tcW w:w="429" w:type="pct"/>
          </w:tcPr>
          <w:p w14:paraId="12C49CED" w14:textId="77777777" w:rsidR="00B178A7" w:rsidRPr="00B178A7" w:rsidRDefault="00B178A7" w:rsidP="00B178A7">
            <w:pPr>
              <w:rPr>
                <w:rFonts w:ascii="Times New Roman" w:hAnsi="Times New Roman" w:cs="Times New Roman"/>
              </w:rPr>
            </w:pPr>
            <w:r w:rsidRPr="00B178A7">
              <w:rPr>
                <w:rFonts w:ascii="Times New Roman" w:hAnsi="Times New Roman" w:cs="Times New Roman"/>
              </w:rPr>
              <w:t>1</w:t>
            </w:r>
          </w:p>
        </w:tc>
        <w:tc>
          <w:tcPr>
            <w:tcW w:w="1643" w:type="pct"/>
          </w:tcPr>
          <w:p w14:paraId="1BC4FA5B" w14:textId="77777777" w:rsidR="00B178A7" w:rsidRPr="00B178A7" w:rsidRDefault="00B178A7" w:rsidP="00B178A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178A7">
              <w:rPr>
                <w:rFonts w:ascii="Times New Roman" w:hAnsi="Times New Roman" w:cs="Times New Roman"/>
                <w:b/>
              </w:rPr>
              <w:t>UNICEF</w:t>
            </w:r>
          </w:p>
        </w:tc>
        <w:tc>
          <w:tcPr>
            <w:tcW w:w="1286" w:type="pct"/>
          </w:tcPr>
          <w:p w14:paraId="6EC528C2" w14:textId="77777777" w:rsidR="00B178A7" w:rsidRPr="00B178A7" w:rsidRDefault="00B178A7" w:rsidP="00B178A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178A7">
              <w:rPr>
                <w:rFonts w:ascii="Times New Roman" w:hAnsi="Times New Roman" w:cs="Times New Roman"/>
              </w:rPr>
              <w:t>4,000,000</w:t>
            </w:r>
          </w:p>
        </w:tc>
        <w:tc>
          <w:tcPr>
            <w:tcW w:w="1643" w:type="pct"/>
          </w:tcPr>
          <w:p w14:paraId="1CB9810E" w14:textId="77777777" w:rsidR="00B178A7" w:rsidRPr="00B178A7" w:rsidRDefault="00B178A7" w:rsidP="00B178A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178A7">
              <w:rPr>
                <w:rFonts w:ascii="Times New Roman" w:hAnsi="Times New Roman" w:cs="Times New Roman"/>
              </w:rPr>
              <w:t>21,480,000</w:t>
            </w:r>
          </w:p>
        </w:tc>
      </w:tr>
      <w:tr w:rsidR="00B178A7" w:rsidRPr="00B178A7" w14:paraId="26B41152" w14:textId="77777777" w:rsidTr="003A3C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 w:type="pct"/>
          </w:tcPr>
          <w:p w14:paraId="6684DEC1" w14:textId="77777777" w:rsidR="00B178A7" w:rsidRPr="00B178A7" w:rsidRDefault="00B178A7" w:rsidP="00B178A7">
            <w:pPr>
              <w:rPr>
                <w:rFonts w:ascii="Times New Roman" w:hAnsi="Times New Roman" w:cs="Times New Roman"/>
              </w:rPr>
            </w:pPr>
            <w:r w:rsidRPr="00B178A7">
              <w:rPr>
                <w:rFonts w:ascii="Times New Roman" w:hAnsi="Times New Roman" w:cs="Times New Roman"/>
              </w:rPr>
              <w:t>2</w:t>
            </w:r>
          </w:p>
        </w:tc>
        <w:tc>
          <w:tcPr>
            <w:tcW w:w="1643" w:type="pct"/>
          </w:tcPr>
          <w:p w14:paraId="1262758C" w14:textId="77777777" w:rsidR="00B178A7" w:rsidRPr="00B178A7" w:rsidRDefault="00B178A7" w:rsidP="00B178A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178A7">
              <w:rPr>
                <w:rFonts w:ascii="Times New Roman" w:hAnsi="Times New Roman" w:cs="Times New Roman"/>
                <w:b/>
              </w:rPr>
              <w:t>Japan</w:t>
            </w:r>
          </w:p>
        </w:tc>
        <w:tc>
          <w:tcPr>
            <w:tcW w:w="1286" w:type="pct"/>
          </w:tcPr>
          <w:p w14:paraId="664430C2" w14:textId="77777777" w:rsidR="00B178A7" w:rsidRPr="00B178A7" w:rsidRDefault="00B178A7" w:rsidP="00B178A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178A7">
              <w:rPr>
                <w:rFonts w:ascii="Times New Roman" w:hAnsi="Times New Roman" w:cs="Times New Roman"/>
              </w:rPr>
              <w:t>4,000,000</w:t>
            </w:r>
          </w:p>
        </w:tc>
        <w:tc>
          <w:tcPr>
            <w:tcW w:w="1643" w:type="pct"/>
          </w:tcPr>
          <w:p w14:paraId="610F6575" w14:textId="77777777" w:rsidR="00B178A7" w:rsidRPr="00B178A7" w:rsidRDefault="00B178A7" w:rsidP="00B178A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178A7">
              <w:rPr>
                <w:rFonts w:ascii="Times New Roman" w:hAnsi="Times New Roman" w:cs="Times New Roman"/>
              </w:rPr>
              <w:t>21,480,000</w:t>
            </w:r>
          </w:p>
        </w:tc>
      </w:tr>
      <w:tr w:rsidR="00B178A7" w:rsidRPr="00B178A7" w14:paraId="4B4D6F00" w14:textId="77777777" w:rsidTr="003A3C41">
        <w:tc>
          <w:tcPr>
            <w:cnfStyle w:val="001000000000" w:firstRow="0" w:lastRow="0" w:firstColumn="1" w:lastColumn="0" w:oddVBand="0" w:evenVBand="0" w:oddHBand="0" w:evenHBand="0" w:firstRowFirstColumn="0" w:firstRowLastColumn="0" w:lastRowFirstColumn="0" w:lastRowLastColumn="0"/>
            <w:tcW w:w="429" w:type="pct"/>
          </w:tcPr>
          <w:p w14:paraId="65094C21" w14:textId="77777777" w:rsidR="00B178A7" w:rsidRPr="00B178A7" w:rsidRDefault="00B178A7" w:rsidP="00B178A7">
            <w:pPr>
              <w:rPr>
                <w:rFonts w:ascii="Times New Roman" w:hAnsi="Times New Roman" w:cs="Times New Roman"/>
              </w:rPr>
            </w:pPr>
            <w:r w:rsidRPr="00B178A7">
              <w:rPr>
                <w:rFonts w:ascii="Times New Roman" w:hAnsi="Times New Roman" w:cs="Times New Roman"/>
              </w:rPr>
              <w:t>3</w:t>
            </w:r>
          </w:p>
        </w:tc>
        <w:tc>
          <w:tcPr>
            <w:tcW w:w="1643" w:type="pct"/>
          </w:tcPr>
          <w:p w14:paraId="30BA89EC" w14:textId="77777777" w:rsidR="00B178A7" w:rsidRPr="00B178A7" w:rsidRDefault="00B178A7" w:rsidP="00B178A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178A7">
              <w:rPr>
                <w:rFonts w:ascii="Times New Roman" w:hAnsi="Times New Roman" w:cs="Times New Roman"/>
                <w:b/>
              </w:rPr>
              <w:t>Ireland</w:t>
            </w:r>
          </w:p>
        </w:tc>
        <w:tc>
          <w:tcPr>
            <w:tcW w:w="1286" w:type="pct"/>
          </w:tcPr>
          <w:p w14:paraId="7F49E6D7" w14:textId="77777777" w:rsidR="00B178A7" w:rsidRPr="00B178A7" w:rsidRDefault="00B178A7" w:rsidP="00B178A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178A7">
              <w:rPr>
                <w:rFonts w:ascii="Times New Roman" w:hAnsi="Times New Roman" w:cs="Times New Roman"/>
              </w:rPr>
              <w:t>9,000,000</w:t>
            </w:r>
          </w:p>
        </w:tc>
        <w:tc>
          <w:tcPr>
            <w:tcW w:w="1643" w:type="pct"/>
          </w:tcPr>
          <w:p w14:paraId="5129CA94" w14:textId="77777777" w:rsidR="00B178A7" w:rsidRPr="00B178A7" w:rsidRDefault="00B178A7" w:rsidP="00B178A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178A7">
              <w:rPr>
                <w:rFonts w:ascii="Times New Roman" w:hAnsi="Times New Roman" w:cs="Times New Roman"/>
              </w:rPr>
              <w:t>48,330,000</w:t>
            </w:r>
          </w:p>
        </w:tc>
      </w:tr>
      <w:tr w:rsidR="00B178A7" w:rsidRPr="00B178A7" w14:paraId="5AFAA886" w14:textId="77777777" w:rsidTr="003A3C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 w:type="pct"/>
          </w:tcPr>
          <w:p w14:paraId="74A827AB" w14:textId="77777777" w:rsidR="00B178A7" w:rsidRPr="00B178A7" w:rsidRDefault="00B178A7" w:rsidP="00B178A7">
            <w:pPr>
              <w:rPr>
                <w:rFonts w:ascii="Times New Roman" w:hAnsi="Times New Roman" w:cs="Times New Roman"/>
              </w:rPr>
            </w:pPr>
            <w:r w:rsidRPr="00B178A7">
              <w:rPr>
                <w:rFonts w:ascii="Times New Roman" w:hAnsi="Times New Roman" w:cs="Times New Roman"/>
              </w:rPr>
              <w:t>4</w:t>
            </w:r>
          </w:p>
        </w:tc>
        <w:tc>
          <w:tcPr>
            <w:tcW w:w="1643" w:type="pct"/>
          </w:tcPr>
          <w:p w14:paraId="7206AEB3" w14:textId="77777777" w:rsidR="00B178A7" w:rsidRPr="00B178A7" w:rsidRDefault="00B178A7" w:rsidP="00B178A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178A7">
              <w:rPr>
                <w:rFonts w:ascii="Times New Roman" w:hAnsi="Times New Roman" w:cs="Times New Roman"/>
                <w:b/>
              </w:rPr>
              <w:t>DFID</w:t>
            </w:r>
          </w:p>
        </w:tc>
        <w:tc>
          <w:tcPr>
            <w:tcW w:w="1286" w:type="pct"/>
          </w:tcPr>
          <w:p w14:paraId="0568F24E" w14:textId="77777777" w:rsidR="00B178A7" w:rsidRPr="00B178A7" w:rsidRDefault="00B178A7" w:rsidP="00B178A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178A7">
              <w:rPr>
                <w:rFonts w:ascii="Times New Roman" w:hAnsi="Times New Roman" w:cs="Times New Roman"/>
              </w:rPr>
              <w:t>25,000,000</w:t>
            </w:r>
          </w:p>
        </w:tc>
        <w:tc>
          <w:tcPr>
            <w:tcW w:w="1643" w:type="pct"/>
          </w:tcPr>
          <w:p w14:paraId="262455C2" w14:textId="77777777" w:rsidR="00B178A7" w:rsidRPr="00B178A7" w:rsidRDefault="00B178A7" w:rsidP="00B178A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178A7">
              <w:rPr>
                <w:rFonts w:ascii="Times New Roman" w:hAnsi="Times New Roman" w:cs="Times New Roman"/>
              </w:rPr>
              <w:t>134,250,000</w:t>
            </w:r>
          </w:p>
        </w:tc>
      </w:tr>
      <w:tr w:rsidR="00B178A7" w:rsidRPr="00B178A7" w14:paraId="083F31EF" w14:textId="77777777" w:rsidTr="003A3C41">
        <w:tc>
          <w:tcPr>
            <w:cnfStyle w:val="001000000000" w:firstRow="0" w:lastRow="0" w:firstColumn="1" w:lastColumn="0" w:oddVBand="0" w:evenVBand="0" w:oddHBand="0" w:evenHBand="0" w:firstRowFirstColumn="0" w:firstRowLastColumn="0" w:lastRowFirstColumn="0" w:lastRowLastColumn="0"/>
            <w:tcW w:w="429" w:type="pct"/>
          </w:tcPr>
          <w:p w14:paraId="5D200D98" w14:textId="77777777" w:rsidR="00B178A7" w:rsidRPr="00B178A7" w:rsidRDefault="00B178A7" w:rsidP="00B178A7">
            <w:pPr>
              <w:rPr>
                <w:rFonts w:ascii="Times New Roman" w:hAnsi="Times New Roman" w:cs="Times New Roman"/>
              </w:rPr>
            </w:pPr>
          </w:p>
        </w:tc>
        <w:tc>
          <w:tcPr>
            <w:tcW w:w="1643" w:type="pct"/>
          </w:tcPr>
          <w:p w14:paraId="31B67628" w14:textId="77777777" w:rsidR="00B178A7" w:rsidRPr="00B178A7" w:rsidRDefault="00B178A7" w:rsidP="00B178A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178A7">
              <w:rPr>
                <w:rFonts w:ascii="Times New Roman" w:hAnsi="Times New Roman" w:cs="Times New Roman"/>
                <w:b/>
              </w:rPr>
              <w:t>Total</w:t>
            </w:r>
          </w:p>
        </w:tc>
        <w:tc>
          <w:tcPr>
            <w:tcW w:w="1286" w:type="pct"/>
          </w:tcPr>
          <w:p w14:paraId="3FDFB2A0" w14:textId="77777777" w:rsidR="00B178A7" w:rsidRPr="00B178A7" w:rsidRDefault="00B178A7" w:rsidP="00B178A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178A7">
              <w:rPr>
                <w:rFonts w:ascii="Times New Roman" w:hAnsi="Times New Roman" w:cs="Times New Roman"/>
                <w:b/>
              </w:rPr>
              <w:t>42,000,000</w:t>
            </w:r>
          </w:p>
        </w:tc>
        <w:tc>
          <w:tcPr>
            <w:tcW w:w="1643" w:type="pct"/>
          </w:tcPr>
          <w:p w14:paraId="03D472A7" w14:textId="77777777" w:rsidR="00B178A7" w:rsidRPr="00B178A7" w:rsidRDefault="00B178A7" w:rsidP="00B178A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178A7">
              <w:rPr>
                <w:rFonts w:ascii="Times New Roman" w:hAnsi="Times New Roman" w:cs="Times New Roman"/>
                <w:b/>
              </w:rPr>
              <w:t>225,540,000</w:t>
            </w:r>
          </w:p>
        </w:tc>
      </w:tr>
    </w:tbl>
    <w:p w14:paraId="7B6B5950" w14:textId="3B3F5FD7" w:rsidR="00B178A7" w:rsidRPr="00B178A7" w:rsidRDefault="00B178A7" w:rsidP="00B178A7">
      <w:pPr>
        <w:spacing w:before="120" w:after="120" w:line="240" w:lineRule="auto"/>
        <w:jc w:val="both"/>
        <w:rPr>
          <w:rFonts w:ascii="Times New Roman" w:hAnsi="Times New Roman" w:cs="Times New Roman"/>
        </w:rPr>
      </w:pPr>
      <w:r w:rsidRPr="00B178A7">
        <w:rPr>
          <w:rFonts w:ascii="Times New Roman" w:hAnsi="Times New Roman" w:cs="Times New Roman"/>
          <w:b/>
          <w:u w:val="single"/>
        </w:rPr>
        <w:t>Source</w:t>
      </w:r>
      <w:r w:rsidRPr="00B178A7">
        <w:rPr>
          <w:rFonts w:ascii="Times New Roman" w:hAnsi="Times New Roman" w:cs="Times New Roman"/>
        </w:rPr>
        <w:t>: MoE Annu</w:t>
      </w:r>
      <w:r w:rsidR="003A3C41">
        <w:rPr>
          <w:rFonts w:ascii="Times New Roman" w:hAnsi="Times New Roman" w:cs="Times New Roman"/>
        </w:rPr>
        <w:t>al Work Plan and Budget (2014</w:t>
      </w:r>
      <w:r w:rsidRPr="00B178A7">
        <w:rPr>
          <w:rFonts w:ascii="Times New Roman" w:hAnsi="Times New Roman" w:cs="Times New Roman"/>
        </w:rPr>
        <w:t>)</w:t>
      </w:r>
    </w:p>
    <w:p w14:paraId="604E5ACE" w14:textId="77777777" w:rsidR="00B178A7" w:rsidRPr="00B178A7" w:rsidRDefault="00B178A7" w:rsidP="00B178A7">
      <w:pPr>
        <w:spacing w:before="120" w:after="120" w:line="276" w:lineRule="auto"/>
        <w:jc w:val="both"/>
        <w:rPr>
          <w:rFonts w:ascii="Times New Roman" w:hAnsi="Times New Roman" w:cs="Times New Roman"/>
          <w:sz w:val="24"/>
          <w:szCs w:val="24"/>
        </w:rPr>
      </w:pPr>
    </w:p>
    <w:p w14:paraId="38FE7DB5" w14:textId="62DA9E6B" w:rsidR="00B178A7" w:rsidRDefault="00B8024A" w:rsidP="00B178A7">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External financing is essentially disbursed in form of budget support to the Ministry of Education national headquarters. As such, the focus of external financing has in the recent past assumed the form of budget support</w:t>
      </w:r>
      <w:r w:rsidR="008473FA">
        <w:rPr>
          <w:rFonts w:ascii="Times New Roman" w:hAnsi="Times New Roman" w:cs="Times New Roman"/>
          <w:sz w:val="24"/>
          <w:szCs w:val="24"/>
        </w:rPr>
        <w:t>.</w:t>
      </w:r>
      <w:r>
        <w:rPr>
          <w:rFonts w:ascii="Times New Roman" w:hAnsi="Times New Roman" w:cs="Times New Roman"/>
          <w:sz w:val="24"/>
          <w:szCs w:val="24"/>
        </w:rPr>
        <w:t xml:space="preserve"> In 2014, the allocation were distributed as shown in Table 3.9.</w:t>
      </w:r>
    </w:p>
    <w:p w14:paraId="1A9C4F41" w14:textId="77777777" w:rsidR="008473FA" w:rsidRDefault="008473FA" w:rsidP="00B178A7">
      <w:pPr>
        <w:spacing w:before="120" w:after="120" w:line="276" w:lineRule="auto"/>
        <w:jc w:val="both"/>
        <w:rPr>
          <w:rFonts w:ascii="Times New Roman" w:hAnsi="Times New Roman" w:cs="Times New Roman"/>
          <w:sz w:val="24"/>
          <w:szCs w:val="24"/>
        </w:rPr>
      </w:pPr>
    </w:p>
    <w:p w14:paraId="26A59024" w14:textId="6E1F8376" w:rsidR="00B178A7" w:rsidRPr="00B178A7" w:rsidRDefault="00B8024A" w:rsidP="00B178A7">
      <w:pPr>
        <w:spacing w:before="120" w:after="120" w:line="276" w:lineRule="auto"/>
        <w:jc w:val="both"/>
        <w:rPr>
          <w:rFonts w:ascii="Times New Roman" w:hAnsi="Times New Roman" w:cs="Times New Roman"/>
          <w:b/>
          <w:sz w:val="24"/>
          <w:szCs w:val="24"/>
        </w:rPr>
      </w:pPr>
      <w:r>
        <w:rPr>
          <w:rFonts w:ascii="Times New Roman" w:hAnsi="Times New Roman" w:cs="Times New Roman"/>
          <w:b/>
          <w:sz w:val="24"/>
          <w:szCs w:val="24"/>
        </w:rPr>
        <w:t>Table 3.9</w:t>
      </w:r>
      <w:r w:rsidR="00B178A7" w:rsidRPr="008473FA">
        <w:rPr>
          <w:rFonts w:ascii="Times New Roman" w:hAnsi="Times New Roman" w:cs="Times New Roman"/>
          <w:b/>
          <w:sz w:val="24"/>
          <w:szCs w:val="24"/>
        </w:rPr>
        <w:t xml:space="preserve">: </w:t>
      </w:r>
      <w:r w:rsidR="008473FA" w:rsidRPr="008473FA">
        <w:rPr>
          <w:rFonts w:ascii="Times New Roman" w:hAnsi="Times New Roman" w:cs="Times New Roman"/>
          <w:b/>
          <w:sz w:val="24"/>
          <w:szCs w:val="24"/>
        </w:rPr>
        <w:t xml:space="preserve">Focus of </w:t>
      </w:r>
      <w:r>
        <w:rPr>
          <w:rFonts w:ascii="Times New Roman" w:hAnsi="Times New Roman" w:cs="Times New Roman"/>
          <w:b/>
          <w:sz w:val="24"/>
          <w:szCs w:val="24"/>
        </w:rPr>
        <w:t>Education Budget A</w:t>
      </w:r>
      <w:r w:rsidR="00B178A7" w:rsidRPr="008473FA">
        <w:rPr>
          <w:rFonts w:ascii="Times New Roman" w:hAnsi="Times New Roman" w:cs="Times New Roman"/>
          <w:b/>
          <w:sz w:val="24"/>
          <w:szCs w:val="24"/>
        </w:rPr>
        <w:t>llocations</w:t>
      </w:r>
      <w:r w:rsidR="008473FA">
        <w:rPr>
          <w:rFonts w:ascii="Times New Roman" w:hAnsi="Times New Roman" w:cs="Times New Roman"/>
          <w:b/>
          <w:sz w:val="24"/>
          <w:szCs w:val="24"/>
        </w:rPr>
        <w:t>, 2014</w:t>
      </w:r>
    </w:p>
    <w:tbl>
      <w:tblPr>
        <w:tblStyle w:val="PlainTable210"/>
        <w:tblW w:w="5000" w:type="pct"/>
        <w:tblLook w:val="04A0" w:firstRow="1" w:lastRow="0" w:firstColumn="1" w:lastColumn="0" w:noHBand="0" w:noVBand="1"/>
      </w:tblPr>
      <w:tblGrid>
        <w:gridCol w:w="509"/>
        <w:gridCol w:w="2641"/>
        <w:gridCol w:w="1828"/>
        <w:gridCol w:w="2133"/>
        <w:gridCol w:w="2131"/>
      </w:tblGrid>
      <w:tr w:rsidR="00B178A7" w:rsidRPr="008473FA" w14:paraId="255ED3E0" w14:textId="77777777" w:rsidTr="00B178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 w:type="pct"/>
          </w:tcPr>
          <w:p w14:paraId="16295FAC" w14:textId="77777777" w:rsidR="00B178A7" w:rsidRPr="008473FA" w:rsidRDefault="00B178A7" w:rsidP="00B178A7">
            <w:pPr>
              <w:pStyle w:val="NoSpacing"/>
              <w:rPr>
                <w:rFonts w:ascii="Times New Roman" w:hAnsi="Times New Roman" w:cs="Times New Roman"/>
              </w:rPr>
            </w:pPr>
            <w:r w:rsidRPr="008473FA">
              <w:rPr>
                <w:rFonts w:ascii="Times New Roman" w:hAnsi="Times New Roman" w:cs="Times New Roman"/>
              </w:rPr>
              <w:t>#</w:t>
            </w:r>
          </w:p>
        </w:tc>
        <w:tc>
          <w:tcPr>
            <w:tcW w:w="1429" w:type="pct"/>
          </w:tcPr>
          <w:p w14:paraId="4C4817EF" w14:textId="77777777" w:rsidR="00B178A7" w:rsidRPr="008473FA" w:rsidRDefault="00B178A7" w:rsidP="00B178A7">
            <w:pPr>
              <w:pStyle w:val="No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Component</w:t>
            </w:r>
          </w:p>
        </w:tc>
        <w:tc>
          <w:tcPr>
            <w:tcW w:w="989" w:type="pct"/>
          </w:tcPr>
          <w:p w14:paraId="04CB0C7C" w14:textId="77777777" w:rsidR="00B178A7" w:rsidRPr="008473FA" w:rsidRDefault="00B178A7" w:rsidP="00B178A7">
            <w:pPr>
              <w:pStyle w:val="No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Donor</w:t>
            </w:r>
          </w:p>
          <w:p w14:paraId="7CAAB0A8" w14:textId="77777777" w:rsidR="00B178A7" w:rsidRPr="008473FA" w:rsidRDefault="00B178A7" w:rsidP="00B178A7">
            <w:pPr>
              <w:pStyle w:val="No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ZWK</w:t>
            </w:r>
          </w:p>
        </w:tc>
        <w:tc>
          <w:tcPr>
            <w:tcW w:w="1154" w:type="pct"/>
          </w:tcPr>
          <w:p w14:paraId="3B482567" w14:textId="77777777" w:rsidR="00B178A7" w:rsidRPr="008473FA" w:rsidRDefault="00B178A7" w:rsidP="00B178A7">
            <w:pPr>
              <w:pStyle w:val="No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Government</w:t>
            </w:r>
          </w:p>
          <w:p w14:paraId="59CFAA5F" w14:textId="77777777" w:rsidR="00B178A7" w:rsidRPr="008473FA" w:rsidRDefault="00B178A7" w:rsidP="00B178A7">
            <w:pPr>
              <w:pStyle w:val="No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ZWK</w:t>
            </w:r>
          </w:p>
        </w:tc>
        <w:tc>
          <w:tcPr>
            <w:tcW w:w="1154" w:type="pct"/>
          </w:tcPr>
          <w:p w14:paraId="0EC7E312" w14:textId="77777777" w:rsidR="00B178A7" w:rsidRPr="008473FA" w:rsidRDefault="00B178A7" w:rsidP="00B178A7">
            <w:pPr>
              <w:pStyle w:val="No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Total 2014 Allocation</w:t>
            </w:r>
          </w:p>
        </w:tc>
      </w:tr>
      <w:tr w:rsidR="00B178A7" w:rsidRPr="008473FA" w14:paraId="40DD2AAA" w14:textId="77777777" w:rsidTr="00B17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 w:type="pct"/>
          </w:tcPr>
          <w:p w14:paraId="41F303E7" w14:textId="77777777" w:rsidR="00B178A7" w:rsidRPr="008473FA" w:rsidRDefault="00B178A7" w:rsidP="00B178A7">
            <w:pPr>
              <w:pStyle w:val="NoSpacing"/>
              <w:rPr>
                <w:rFonts w:ascii="Times New Roman" w:hAnsi="Times New Roman" w:cs="Times New Roman"/>
              </w:rPr>
            </w:pPr>
            <w:r w:rsidRPr="008473FA">
              <w:rPr>
                <w:rFonts w:ascii="Times New Roman" w:hAnsi="Times New Roman" w:cs="Times New Roman"/>
              </w:rPr>
              <w:t>1</w:t>
            </w:r>
          </w:p>
        </w:tc>
        <w:tc>
          <w:tcPr>
            <w:tcW w:w="1429" w:type="pct"/>
          </w:tcPr>
          <w:p w14:paraId="22E9925B" w14:textId="77777777" w:rsidR="00B178A7" w:rsidRPr="008473FA" w:rsidRDefault="00B178A7" w:rsidP="00B178A7">
            <w:pPr>
              <w:pStyle w:val="No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Headquarters</w:t>
            </w:r>
          </w:p>
        </w:tc>
        <w:tc>
          <w:tcPr>
            <w:tcW w:w="989" w:type="pct"/>
          </w:tcPr>
          <w:p w14:paraId="75A073F0" w14:textId="77777777" w:rsidR="00B178A7" w:rsidRPr="008473FA" w:rsidRDefault="00B178A7" w:rsidP="00B178A7">
            <w:pPr>
              <w:pStyle w:val="No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215.83</w:t>
            </w:r>
          </w:p>
        </w:tc>
        <w:tc>
          <w:tcPr>
            <w:tcW w:w="1154" w:type="pct"/>
          </w:tcPr>
          <w:p w14:paraId="278CB7F3" w14:textId="77777777" w:rsidR="00B178A7" w:rsidRPr="008473FA" w:rsidRDefault="00B178A7" w:rsidP="00B178A7">
            <w:pPr>
              <w:pStyle w:val="No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1,578.35</w:t>
            </w:r>
          </w:p>
        </w:tc>
        <w:tc>
          <w:tcPr>
            <w:tcW w:w="1154" w:type="pct"/>
          </w:tcPr>
          <w:p w14:paraId="5C799F32" w14:textId="77777777" w:rsidR="00B178A7" w:rsidRPr="008473FA" w:rsidRDefault="00B178A7" w:rsidP="00B178A7">
            <w:pPr>
              <w:pStyle w:val="No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1,598.14</w:t>
            </w:r>
          </w:p>
        </w:tc>
      </w:tr>
      <w:tr w:rsidR="00B178A7" w:rsidRPr="008473FA" w14:paraId="7D69FC1A" w14:textId="77777777" w:rsidTr="00B178A7">
        <w:tc>
          <w:tcPr>
            <w:cnfStyle w:val="001000000000" w:firstRow="0" w:lastRow="0" w:firstColumn="1" w:lastColumn="0" w:oddVBand="0" w:evenVBand="0" w:oddHBand="0" w:evenHBand="0" w:firstRowFirstColumn="0" w:firstRowLastColumn="0" w:lastRowFirstColumn="0" w:lastRowLastColumn="0"/>
            <w:tcW w:w="275" w:type="pct"/>
          </w:tcPr>
          <w:p w14:paraId="7FBA8C01" w14:textId="77777777" w:rsidR="00B178A7" w:rsidRPr="008473FA" w:rsidRDefault="00B178A7" w:rsidP="00B178A7">
            <w:pPr>
              <w:pStyle w:val="NoSpacing"/>
              <w:rPr>
                <w:rFonts w:ascii="Times New Roman" w:hAnsi="Times New Roman" w:cs="Times New Roman"/>
              </w:rPr>
            </w:pPr>
            <w:r w:rsidRPr="008473FA">
              <w:rPr>
                <w:rFonts w:ascii="Times New Roman" w:hAnsi="Times New Roman" w:cs="Times New Roman"/>
              </w:rPr>
              <w:t>2</w:t>
            </w:r>
          </w:p>
        </w:tc>
        <w:tc>
          <w:tcPr>
            <w:tcW w:w="1429" w:type="pct"/>
          </w:tcPr>
          <w:p w14:paraId="3299F0CF" w14:textId="77777777" w:rsidR="00B178A7" w:rsidRPr="008473FA" w:rsidRDefault="00B178A7" w:rsidP="00B178A7">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Provincial Offices</w:t>
            </w:r>
          </w:p>
        </w:tc>
        <w:tc>
          <w:tcPr>
            <w:tcW w:w="989" w:type="pct"/>
          </w:tcPr>
          <w:p w14:paraId="56B80526" w14:textId="77777777" w:rsidR="00B178A7" w:rsidRPr="008473FA" w:rsidRDefault="00B178A7" w:rsidP="00B178A7">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7.46</w:t>
            </w:r>
          </w:p>
        </w:tc>
        <w:tc>
          <w:tcPr>
            <w:tcW w:w="1154" w:type="pct"/>
          </w:tcPr>
          <w:p w14:paraId="6CAA5560" w14:textId="77777777" w:rsidR="00B178A7" w:rsidRPr="008473FA" w:rsidRDefault="00B178A7" w:rsidP="00B178A7">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751.39</w:t>
            </w:r>
          </w:p>
        </w:tc>
        <w:tc>
          <w:tcPr>
            <w:tcW w:w="1154" w:type="pct"/>
          </w:tcPr>
          <w:p w14:paraId="5D9A2428" w14:textId="77777777" w:rsidR="00B178A7" w:rsidRPr="008473FA" w:rsidRDefault="00B178A7" w:rsidP="00B178A7">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758.85</w:t>
            </w:r>
          </w:p>
        </w:tc>
      </w:tr>
      <w:tr w:rsidR="00B178A7" w:rsidRPr="008473FA" w14:paraId="7398EDF5" w14:textId="77777777" w:rsidTr="00B17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 w:type="pct"/>
          </w:tcPr>
          <w:p w14:paraId="65F96F06" w14:textId="77777777" w:rsidR="00B178A7" w:rsidRPr="008473FA" w:rsidRDefault="00B178A7" w:rsidP="00B178A7">
            <w:pPr>
              <w:pStyle w:val="NoSpacing"/>
              <w:rPr>
                <w:rFonts w:ascii="Times New Roman" w:hAnsi="Times New Roman" w:cs="Times New Roman"/>
              </w:rPr>
            </w:pPr>
            <w:r w:rsidRPr="008473FA">
              <w:rPr>
                <w:rFonts w:ascii="Times New Roman" w:hAnsi="Times New Roman" w:cs="Times New Roman"/>
              </w:rPr>
              <w:t>3</w:t>
            </w:r>
          </w:p>
        </w:tc>
        <w:tc>
          <w:tcPr>
            <w:tcW w:w="1429" w:type="pct"/>
          </w:tcPr>
          <w:p w14:paraId="2D252381" w14:textId="77777777" w:rsidR="00B178A7" w:rsidRPr="008473FA" w:rsidRDefault="00B178A7" w:rsidP="00B178A7">
            <w:pPr>
              <w:pStyle w:val="No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Primary Schools</w:t>
            </w:r>
          </w:p>
        </w:tc>
        <w:tc>
          <w:tcPr>
            <w:tcW w:w="989" w:type="pct"/>
          </w:tcPr>
          <w:p w14:paraId="04CFDC0A" w14:textId="77777777" w:rsidR="00B178A7" w:rsidRPr="008473FA" w:rsidRDefault="00B178A7" w:rsidP="00B178A7">
            <w:pPr>
              <w:pStyle w:val="No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w:t>
            </w:r>
          </w:p>
        </w:tc>
        <w:tc>
          <w:tcPr>
            <w:tcW w:w="1154" w:type="pct"/>
          </w:tcPr>
          <w:p w14:paraId="35392CBF" w14:textId="77777777" w:rsidR="00B178A7" w:rsidRPr="008473FA" w:rsidRDefault="00B178A7" w:rsidP="00B178A7">
            <w:pPr>
              <w:pStyle w:val="No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4,844.00</w:t>
            </w:r>
          </w:p>
        </w:tc>
        <w:tc>
          <w:tcPr>
            <w:tcW w:w="1154" w:type="pct"/>
          </w:tcPr>
          <w:p w14:paraId="6D766F4E" w14:textId="77777777" w:rsidR="00B178A7" w:rsidRPr="008473FA" w:rsidRDefault="00B178A7" w:rsidP="00B178A7">
            <w:pPr>
              <w:pStyle w:val="No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4,844.00</w:t>
            </w:r>
          </w:p>
        </w:tc>
      </w:tr>
      <w:tr w:rsidR="00B178A7" w:rsidRPr="008473FA" w14:paraId="6F056E83" w14:textId="77777777" w:rsidTr="00B178A7">
        <w:tc>
          <w:tcPr>
            <w:cnfStyle w:val="001000000000" w:firstRow="0" w:lastRow="0" w:firstColumn="1" w:lastColumn="0" w:oddVBand="0" w:evenVBand="0" w:oddHBand="0" w:evenHBand="0" w:firstRowFirstColumn="0" w:firstRowLastColumn="0" w:lastRowFirstColumn="0" w:lastRowLastColumn="0"/>
            <w:tcW w:w="275" w:type="pct"/>
          </w:tcPr>
          <w:p w14:paraId="4CEDBC20" w14:textId="77777777" w:rsidR="00B178A7" w:rsidRPr="008473FA" w:rsidRDefault="00B178A7" w:rsidP="00B178A7">
            <w:pPr>
              <w:pStyle w:val="NoSpacing"/>
              <w:rPr>
                <w:rFonts w:ascii="Times New Roman" w:hAnsi="Times New Roman" w:cs="Times New Roman"/>
              </w:rPr>
            </w:pPr>
            <w:r w:rsidRPr="008473FA">
              <w:rPr>
                <w:rFonts w:ascii="Times New Roman" w:hAnsi="Times New Roman" w:cs="Times New Roman"/>
              </w:rPr>
              <w:t>4</w:t>
            </w:r>
          </w:p>
        </w:tc>
        <w:tc>
          <w:tcPr>
            <w:tcW w:w="1429" w:type="pct"/>
          </w:tcPr>
          <w:p w14:paraId="5756F5A9" w14:textId="77777777" w:rsidR="00B178A7" w:rsidRPr="008473FA" w:rsidRDefault="00B178A7" w:rsidP="00B178A7">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Secondary Schools</w:t>
            </w:r>
          </w:p>
        </w:tc>
        <w:tc>
          <w:tcPr>
            <w:tcW w:w="989" w:type="pct"/>
          </w:tcPr>
          <w:p w14:paraId="3E1B2CA9" w14:textId="77777777" w:rsidR="00B178A7" w:rsidRPr="008473FA" w:rsidRDefault="00B178A7" w:rsidP="00B178A7">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w:t>
            </w:r>
          </w:p>
        </w:tc>
        <w:tc>
          <w:tcPr>
            <w:tcW w:w="1154" w:type="pct"/>
          </w:tcPr>
          <w:p w14:paraId="338D2830" w14:textId="77777777" w:rsidR="00B178A7" w:rsidRPr="008473FA" w:rsidRDefault="00B178A7" w:rsidP="00B178A7">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1385.90</w:t>
            </w:r>
          </w:p>
        </w:tc>
        <w:tc>
          <w:tcPr>
            <w:tcW w:w="1154" w:type="pct"/>
          </w:tcPr>
          <w:p w14:paraId="494B7647" w14:textId="77777777" w:rsidR="00B178A7" w:rsidRPr="008473FA" w:rsidRDefault="00B178A7" w:rsidP="00B178A7">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1,385.90</w:t>
            </w:r>
          </w:p>
        </w:tc>
      </w:tr>
      <w:tr w:rsidR="00B178A7" w:rsidRPr="008473FA" w14:paraId="46A570BA" w14:textId="77777777" w:rsidTr="00B17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 w:type="pct"/>
          </w:tcPr>
          <w:p w14:paraId="3E6D86EF" w14:textId="77777777" w:rsidR="00B178A7" w:rsidRPr="008473FA" w:rsidRDefault="00B178A7" w:rsidP="00B178A7">
            <w:pPr>
              <w:pStyle w:val="NoSpacing"/>
              <w:rPr>
                <w:rFonts w:ascii="Times New Roman" w:hAnsi="Times New Roman" w:cs="Times New Roman"/>
              </w:rPr>
            </w:pPr>
            <w:r w:rsidRPr="008473FA">
              <w:rPr>
                <w:rFonts w:ascii="Times New Roman" w:hAnsi="Times New Roman" w:cs="Times New Roman"/>
              </w:rPr>
              <w:t>5</w:t>
            </w:r>
          </w:p>
        </w:tc>
        <w:tc>
          <w:tcPr>
            <w:tcW w:w="1429" w:type="pct"/>
          </w:tcPr>
          <w:p w14:paraId="0ADE55AB" w14:textId="77777777" w:rsidR="00B178A7" w:rsidRPr="008473FA" w:rsidRDefault="00B178A7" w:rsidP="00B178A7">
            <w:pPr>
              <w:pStyle w:val="No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Tertiary Institutions</w:t>
            </w:r>
          </w:p>
        </w:tc>
        <w:tc>
          <w:tcPr>
            <w:tcW w:w="989" w:type="pct"/>
          </w:tcPr>
          <w:p w14:paraId="0E89489B" w14:textId="77777777" w:rsidR="00B178A7" w:rsidRPr="008473FA" w:rsidRDefault="00B178A7" w:rsidP="00B178A7">
            <w:pPr>
              <w:pStyle w:val="No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7.21</w:t>
            </w:r>
          </w:p>
        </w:tc>
        <w:tc>
          <w:tcPr>
            <w:tcW w:w="1154" w:type="pct"/>
          </w:tcPr>
          <w:p w14:paraId="43B320B9" w14:textId="77777777" w:rsidR="00B178A7" w:rsidRPr="008473FA" w:rsidRDefault="00B178A7" w:rsidP="00B178A7">
            <w:pPr>
              <w:pStyle w:val="No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5.05</w:t>
            </w:r>
          </w:p>
        </w:tc>
        <w:tc>
          <w:tcPr>
            <w:tcW w:w="1154" w:type="pct"/>
          </w:tcPr>
          <w:p w14:paraId="49FB3ECF" w14:textId="77777777" w:rsidR="00B178A7" w:rsidRPr="008473FA" w:rsidRDefault="00B178A7" w:rsidP="00B178A7">
            <w:pPr>
              <w:pStyle w:val="No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12.26</w:t>
            </w:r>
          </w:p>
        </w:tc>
      </w:tr>
      <w:tr w:rsidR="00B178A7" w:rsidRPr="008473FA" w14:paraId="6AE91E77" w14:textId="77777777" w:rsidTr="00B178A7">
        <w:tc>
          <w:tcPr>
            <w:cnfStyle w:val="001000000000" w:firstRow="0" w:lastRow="0" w:firstColumn="1" w:lastColumn="0" w:oddVBand="0" w:evenVBand="0" w:oddHBand="0" w:evenHBand="0" w:firstRowFirstColumn="0" w:firstRowLastColumn="0" w:lastRowFirstColumn="0" w:lastRowLastColumn="0"/>
            <w:tcW w:w="275" w:type="pct"/>
          </w:tcPr>
          <w:p w14:paraId="53E26E21" w14:textId="77777777" w:rsidR="00B178A7" w:rsidRPr="008473FA" w:rsidRDefault="00B178A7" w:rsidP="00B178A7">
            <w:pPr>
              <w:pStyle w:val="NoSpacing"/>
              <w:rPr>
                <w:rFonts w:ascii="Times New Roman" w:hAnsi="Times New Roman" w:cs="Times New Roman"/>
              </w:rPr>
            </w:pPr>
          </w:p>
        </w:tc>
        <w:tc>
          <w:tcPr>
            <w:tcW w:w="1429" w:type="pct"/>
          </w:tcPr>
          <w:p w14:paraId="30A7CAAC" w14:textId="77777777" w:rsidR="00B178A7" w:rsidRPr="008473FA" w:rsidRDefault="00B178A7" w:rsidP="00B178A7">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Totals</w:t>
            </w:r>
          </w:p>
        </w:tc>
        <w:tc>
          <w:tcPr>
            <w:tcW w:w="989" w:type="pct"/>
          </w:tcPr>
          <w:p w14:paraId="3016E46E" w14:textId="77777777" w:rsidR="00B178A7" w:rsidRPr="008473FA" w:rsidRDefault="00B178A7" w:rsidP="00B178A7">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230.5</w:t>
            </w:r>
          </w:p>
        </w:tc>
        <w:tc>
          <w:tcPr>
            <w:tcW w:w="1154" w:type="pct"/>
          </w:tcPr>
          <w:p w14:paraId="79460F6C" w14:textId="77777777" w:rsidR="00B178A7" w:rsidRPr="008473FA" w:rsidRDefault="00B178A7" w:rsidP="00B178A7">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8,564.68</w:t>
            </w:r>
          </w:p>
        </w:tc>
        <w:tc>
          <w:tcPr>
            <w:tcW w:w="1154" w:type="pct"/>
          </w:tcPr>
          <w:p w14:paraId="0FCA9CAC" w14:textId="77777777" w:rsidR="00B178A7" w:rsidRPr="008473FA" w:rsidRDefault="00B178A7" w:rsidP="00B178A7">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473FA">
              <w:rPr>
                <w:rFonts w:ascii="Times New Roman" w:hAnsi="Times New Roman" w:cs="Times New Roman"/>
              </w:rPr>
              <w:t>8,599.15</w:t>
            </w:r>
          </w:p>
        </w:tc>
      </w:tr>
    </w:tbl>
    <w:p w14:paraId="0C42ACFA" w14:textId="4BC1A19C" w:rsidR="00B178A7" w:rsidRPr="008473FA" w:rsidRDefault="00B178A7" w:rsidP="008473FA">
      <w:pPr>
        <w:pStyle w:val="NoSpacing"/>
        <w:rPr>
          <w:rFonts w:ascii="Times New Roman" w:hAnsi="Times New Roman" w:cs="Times New Roman"/>
        </w:rPr>
      </w:pPr>
      <w:r w:rsidRPr="008473FA">
        <w:rPr>
          <w:rFonts w:ascii="Times New Roman" w:hAnsi="Times New Roman" w:cs="Times New Roman"/>
          <w:b/>
          <w:u w:val="single"/>
        </w:rPr>
        <w:t>Source</w:t>
      </w:r>
      <w:r w:rsidRPr="008473FA">
        <w:rPr>
          <w:rFonts w:ascii="Times New Roman" w:hAnsi="Times New Roman" w:cs="Times New Roman"/>
        </w:rPr>
        <w:t>: Annual Work Plan and Budget (2014)</w:t>
      </w:r>
    </w:p>
    <w:p w14:paraId="0A01F666" w14:textId="77777777" w:rsidR="008473FA" w:rsidRDefault="008473FA" w:rsidP="00B178A7">
      <w:pPr>
        <w:tabs>
          <w:tab w:val="left" w:pos="1746"/>
        </w:tabs>
        <w:spacing w:after="200" w:line="360" w:lineRule="auto"/>
        <w:jc w:val="both"/>
        <w:rPr>
          <w:rFonts w:ascii="Times New Roman" w:hAnsi="Times New Roman" w:cs="Times New Roman"/>
          <w:sz w:val="24"/>
        </w:rPr>
      </w:pPr>
    </w:p>
    <w:p w14:paraId="519EE754" w14:textId="4423F44B" w:rsidR="00B178A7" w:rsidRDefault="00B8024A" w:rsidP="00BC4FE2">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sz w:val="24"/>
        </w:rPr>
        <w:t>External financing</w:t>
      </w:r>
      <w:r w:rsidR="00B178A7" w:rsidRPr="00B178A7">
        <w:rPr>
          <w:rFonts w:ascii="Times New Roman" w:hAnsi="Times New Roman" w:cs="Times New Roman"/>
          <w:sz w:val="24"/>
        </w:rPr>
        <w:t xml:space="preserve"> </w:t>
      </w:r>
      <w:r w:rsidR="008473FA">
        <w:rPr>
          <w:rFonts w:ascii="Times New Roman" w:hAnsi="Times New Roman" w:cs="Times New Roman"/>
          <w:sz w:val="24"/>
        </w:rPr>
        <w:t xml:space="preserve">in 2014 </w:t>
      </w:r>
      <w:r>
        <w:rPr>
          <w:rFonts w:ascii="Times New Roman" w:hAnsi="Times New Roman" w:cs="Times New Roman"/>
          <w:sz w:val="24"/>
        </w:rPr>
        <w:t>increased by K165.5 m</w:t>
      </w:r>
      <w:r w:rsidR="00B178A7" w:rsidRPr="00B178A7">
        <w:rPr>
          <w:rFonts w:ascii="Times New Roman" w:hAnsi="Times New Roman" w:cs="Times New Roman"/>
          <w:sz w:val="24"/>
        </w:rPr>
        <w:t>illion compared to 2013, mainly due to the coming on board of DfID as well as the GPE fund.</w:t>
      </w:r>
      <w:r w:rsidR="00B178A7">
        <w:rPr>
          <w:rFonts w:ascii="Times New Roman" w:hAnsi="Times New Roman" w:cs="Times New Roman"/>
          <w:sz w:val="24"/>
        </w:rPr>
        <w:t xml:space="preserve"> </w:t>
      </w:r>
      <w:r w:rsidR="00B178A7" w:rsidRPr="00B178A7">
        <w:rPr>
          <w:rFonts w:ascii="Times New Roman" w:hAnsi="Times New Roman" w:cs="Times New Roman"/>
          <w:sz w:val="24"/>
          <w:szCs w:val="24"/>
        </w:rPr>
        <w:t>Other support to the education sector comes through various actors implementing activities that reduce the burden on the national treasury. Many donor funded projects and Non-Governmental Organisations (NGOs) are actively operating in this space</w:t>
      </w:r>
      <w:r w:rsidR="00B178A7">
        <w:rPr>
          <w:rStyle w:val="FootnoteReference"/>
          <w:rFonts w:ascii="Times New Roman" w:hAnsi="Times New Roman" w:cs="Times New Roman"/>
          <w:sz w:val="24"/>
          <w:szCs w:val="24"/>
        </w:rPr>
        <w:footnoteReference w:id="13"/>
      </w:r>
      <w:r w:rsidR="00B178A7" w:rsidRPr="00B178A7">
        <w:rPr>
          <w:rFonts w:ascii="Times New Roman" w:hAnsi="Times New Roman" w:cs="Times New Roman"/>
          <w:sz w:val="24"/>
          <w:szCs w:val="24"/>
        </w:rPr>
        <w:t xml:space="preserve">. </w:t>
      </w:r>
      <w:r w:rsidR="00FB4F6B">
        <w:rPr>
          <w:rFonts w:ascii="Times New Roman" w:hAnsi="Times New Roman" w:cs="Times New Roman"/>
          <w:sz w:val="24"/>
          <w:szCs w:val="24"/>
        </w:rPr>
        <w:t>However, the contribution of external financing to the education sector has generally assumed a declining trend necessitating the need for increased domestic financing of education in Zambia.</w:t>
      </w:r>
      <w:r w:rsidR="00BC4FE2" w:rsidRPr="00BC4FE2">
        <w:rPr>
          <w:rFonts w:ascii="RijksoverheidSerif-Regular" w:hAnsi="RijksoverheidSerif-Regular" w:cs="RijksoverheidSerif-Regular"/>
          <w:sz w:val="18"/>
          <w:szCs w:val="18"/>
        </w:rPr>
        <w:t xml:space="preserve"> </w:t>
      </w:r>
      <w:r w:rsidR="00BC4FE2" w:rsidRPr="00BC4FE2">
        <w:rPr>
          <w:rFonts w:ascii="Times New Roman" w:hAnsi="Times New Roman" w:cs="Times New Roman"/>
        </w:rPr>
        <w:t>The</w:t>
      </w:r>
      <w:r w:rsidR="00BC4FE2">
        <w:rPr>
          <w:rFonts w:ascii="Times New Roman" w:hAnsi="Times New Roman" w:cs="Times New Roman"/>
        </w:rPr>
        <w:t xml:space="preserve"> decline was marked between 2005 and 2008 when</w:t>
      </w:r>
      <w:r w:rsidR="00BC4FE2" w:rsidRPr="00BC4FE2">
        <w:rPr>
          <w:rFonts w:ascii="Times New Roman" w:hAnsi="Times New Roman" w:cs="Times New Roman"/>
        </w:rPr>
        <w:t xml:space="preserve"> sector contribution of</w:t>
      </w:r>
      <w:r w:rsidR="00BC4FE2">
        <w:rPr>
          <w:rFonts w:ascii="Times New Roman" w:hAnsi="Times New Roman" w:cs="Times New Roman"/>
        </w:rPr>
        <w:t xml:space="preserve"> cooperating partners decreased from 38 percent in 2005 to 12 percent</w:t>
      </w:r>
      <w:r w:rsidR="00BC4FE2" w:rsidRPr="00BC4FE2">
        <w:rPr>
          <w:rFonts w:ascii="Times New Roman" w:hAnsi="Times New Roman" w:cs="Times New Roman"/>
        </w:rPr>
        <w:t xml:space="preserve"> in 2</w:t>
      </w:r>
      <w:r w:rsidR="00BC4FE2">
        <w:rPr>
          <w:rFonts w:ascii="Times New Roman" w:hAnsi="Times New Roman" w:cs="Times New Roman"/>
        </w:rPr>
        <w:t>008 (MoFNP, 2009: 63).</w:t>
      </w:r>
    </w:p>
    <w:p w14:paraId="4C754836" w14:textId="77777777" w:rsidR="00BC4FE2" w:rsidRPr="00BC4FE2" w:rsidRDefault="00BC4FE2" w:rsidP="00BC4FE2">
      <w:pPr>
        <w:autoSpaceDE w:val="0"/>
        <w:autoSpaceDN w:val="0"/>
        <w:adjustRightInd w:val="0"/>
        <w:spacing w:after="0" w:line="360" w:lineRule="auto"/>
        <w:jc w:val="both"/>
        <w:rPr>
          <w:rFonts w:ascii="Times New Roman" w:hAnsi="Times New Roman" w:cs="Times New Roman"/>
        </w:rPr>
      </w:pPr>
    </w:p>
    <w:p w14:paraId="037DD066" w14:textId="0F2E17F8" w:rsidR="008A4AB1" w:rsidRPr="00FF7018" w:rsidRDefault="00FF7018" w:rsidP="00FF7018">
      <w:pPr>
        <w:pStyle w:val="Heading2"/>
        <w:rPr>
          <w:rFonts w:ascii="Times New Roman" w:hAnsi="Times New Roman" w:cs="Times New Roman"/>
        </w:rPr>
      </w:pPr>
      <w:bookmarkStart w:id="39" w:name="_Toc458687362"/>
      <w:r w:rsidRPr="00FF7018">
        <w:rPr>
          <w:rFonts w:ascii="Times New Roman" w:hAnsi="Times New Roman" w:cs="Times New Roman"/>
        </w:rPr>
        <w:t>4.2</w:t>
      </w:r>
      <w:r w:rsidRPr="00FF7018">
        <w:rPr>
          <w:rFonts w:ascii="Times New Roman" w:hAnsi="Times New Roman" w:cs="Times New Roman"/>
        </w:rPr>
        <w:tab/>
      </w:r>
      <w:r w:rsidR="009961AC" w:rsidRPr="00FF7018">
        <w:rPr>
          <w:rFonts w:ascii="Times New Roman" w:hAnsi="Times New Roman" w:cs="Times New Roman"/>
        </w:rPr>
        <w:t>S</w:t>
      </w:r>
      <w:r w:rsidR="00F251E8">
        <w:rPr>
          <w:rFonts w:ascii="Times New Roman" w:hAnsi="Times New Roman" w:cs="Times New Roman"/>
        </w:rPr>
        <w:t>ize and Focus of Domestic Financing of E</w:t>
      </w:r>
      <w:r w:rsidR="001A40D8" w:rsidRPr="00FF7018">
        <w:rPr>
          <w:rFonts w:ascii="Times New Roman" w:hAnsi="Times New Roman" w:cs="Times New Roman"/>
        </w:rPr>
        <w:t>ducation in Zambia</w:t>
      </w:r>
      <w:r w:rsidR="009961AC" w:rsidRPr="00FF7018">
        <w:rPr>
          <w:rFonts w:ascii="Times New Roman" w:hAnsi="Times New Roman" w:cs="Times New Roman"/>
        </w:rPr>
        <w:t>, 2010</w:t>
      </w:r>
      <w:r w:rsidR="001A40D8" w:rsidRPr="00FF7018">
        <w:rPr>
          <w:rFonts w:ascii="Times New Roman" w:hAnsi="Times New Roman" w:cs="Times New Roman"/>
        </w:rPr>
        <w:t xml:space="preserve"> – </w:t>
      </w:r>
      <w:r w:rsidR="009961AC" w:rsidRPr="00FF7018">
        <w:rPr>
          <w:rFonts w:ascii="Times New Roman" w:hAnsi="Times New Roman" w:cs="Times New Roman"/>
        </w:rPr>
        <w:t>2014</w:t>
      </w:r>
      <w:bookmarkEnd w:id="39"/>
    </w:p>
    <w:p w14:paraId="732EDEFC" w14:textId="765A429B" w:rsidR="0066081E" w:rsidRDefault="00173D39" w:rsidP="009961AC">
      <w:pPr>
        <w:spacing w:line="360" w:lineRule="auto"/>
        <w:contextualSpacing/>
        <w:jc w:val="both"/>
        <w:rPr>
          <w:rFonts w:ascii="Times New Roman" w:hAnsi="Times New Roman" w:cs="Times New Roman"/>
        </w:rPr>
      </w:pPr>
      <w:r>
        <w:rPr>
          <w:rFonts w:ascii="Times New Roman" w:hAnsi="Times New Roman" w:cs="Times New Roman"/>
        </w:rPr>
        <w:t>Total n</w:t>
      </w:r>
      <w:r w:rsidR="009961AC">
        <w:rPr>
          <w:rFonts w:ascii="Times New Roman" w:hAnsi="Times New Roman" w:cs="Times New Roman"/>
        </w:rPr>
        <w:t>ational budget a</w:t>
      </w:r>
      <w:r w:rsidR="009961AC" w:rsidRPr="009961AC">
        <w:rPr>
          <w:rFonts w:ascii="Times New Roman" w:hAnsi="Times New Roman" w:cs="Times New Roman"/>
        </w:rPr>
        <w:t>llocations</w:t>
      </w:r>
      <w:r w:rsidR="009961AC">
        <w:rPr>
          <w:rFonts w:ascii="Times New Roman" w:hAnsi="Times New Roman" w:cs="Times New Roman"/>
        </w:rPr>
        <w:t xml:space="preserve"> on </w:t>
      </w:r>
      <w:r w:rsidR="009961AC" w:rsidRPr="009961AC">
        <w:rPr>
          <w:rFonts w:ascii="Times New Roman" w:hAnsi="Times New Roman" w:cs="Times New Roman"/>
        </w:rPr>
        <w:t xml:space="preserve">education </w:t>
      </w:r>
      <w:r w:rsidR="009961AC">
        <w:rPr>
          <w:rFonts w:ascii="Times New Roman" w:hAnsi="Times New Roman" w:cs="Times New Roman"/>
        </w:rPr>
        <w:t>have averaged about 18</w:t>
      </w:r>
      <w:r>
        <w:rPr>
          <w:rFonts w:ascii="Times New Roman" w:hAnsi="Times New Roman" w:cs="Times New Roman"/>
        </w:rPr>
        <w:t xml:space="preserve"> percent of the total budget</w:t>
      </w:r>
      <w:r w:rsidR="009961AC">
        <w:rPr>
          <w:rFonts w:ascii="Times New Roman" w:hAnsi="Times New Roman" w:cs="Times New Roman"/>
        </w:rPr>
        <w:t xml:space="preserve"> for the period 2010-2014</w:t>
      </w:r>
      <w:r w:rsidR="00BC4FE2">
        <w:rPr>
          <w:rFonts w:ascii="Times New Roman" w:hAnsi="Times New Roman" w:cs="Times New Roman"/>
        </w:rPr>
        <w:t xml:space="preserve"> (Figure 3.7</w:t>
      </w:r>
      <w:r>
        <w:rPr>
          <w:rFonts w:ascii="Times New Roman" w:hAnsi="Times New Roman" w:cs="Times New Roman"/>
        </w:rPr>
        <w:t>)</w:t>
      </w:r>
      <w:r w:rsidR="009961AC">
        <w:rPr>
          <w:rFonts w:ascii="Times New Roman" w:hAnsi="Times New Roman" w:cs="Times New Roman"/>
        </w:rPr>
        <w:t xml:space="preserve">. On </w:t>
      </w:r>
      <w:r>
        <w:rPr>
          <w:rFonts w:ascii="Times New Roman" w:hAnsi="Times New Roman" w:cs="Times New Roman"/>
        </w:rPr>
        <w:t>a year on year basis, this has fluctuated</w:t>
      </w:r>
      <w:r w:rsidR="009961AC">
        <w:rPr>
          <w:rFonts w:ascii="Times New Roman" w:hAnsi="Times New Roman" w:cs="Times New Roman"/>
        </w:rPr>
        <w:t xml:space="preserve"> between 17 and 20</w:t>
      </w:r>
      <w:r>
        <w:rPr>
          <w:rFonts w:ascii="Times New Roman" w:hAnsi="Times New Roman" w:cs="Times New Roman"/>
        </w:rPr>
        <w:t xml:space="preserve"> percent of the national budget. In 2010, the proportion of the budget allocated to education was 19.2 percent. This </w:t>
      </w:r>
      <w:r w:rsidR="009961AC" w:rsidRPr="009961AC">
        <w:rPr>
          <w:rFonts w:ascii="Times New Roman" w:hAnsi="Times New Roman" w:cs="Times New Roman"/>
        </w:rPr>
        <w:t xml:space="preserve">marginally declined </w:t>
      </w:r>
      <w:r>
        <w:rPr>
          <w:rFonts w:ascii="Times New Roman" w:hAnsi="Times New Roman" w:cs="Times New Roman"/>
        </w:rPr>
        <w:t>to 18.6 percent in 2011 and further to 17.5 percent in 2012 and 2013 before rebounding to 20.2 percent in 2014</w:t>
      </w:r>
      <w:r w:rsidR="009961AC" w:rsidRPr="009961AC">
        <w:rPr>
          <w:rFonts w:ascii="Times New Roman" w:hAnsi="Times New Roman" w:cs="Times New Roman"/>
        </w:rPr>
        <w:t>. The decline was much steep between 2010 and 2012 but recovered after 2012</w:t>
      </w:r>
      <w:r w:rsidR="00BC4FE2">
        <w:rPr>
          <w:rFonts w:ascii="Times New Roman" w:hAnsi="Times New Roman" w:cs="Times New Roman"/>
        </w:rPr>
        <w:t xml:space="preserve"> (</w:t>
      </w:r>
      <w:r w:rsidR="006F1EB2">
        <w:rPr>
          <w:rFonts w:ascii="Times New Roman" w:hAnsi="Times New Roman" w:cs="Times New Roman"/>
        </w:rPr>
        <w:t>Figure 3.7</w:t>
      </w:r>
      <w:r w:rsidR="00BC4FE2">
        <w:rPr>
          <w:rFonts w:ascii="Times New Roman" w:hAnsi="Times New Roman" w:cs="Times New Roman"/>
        </w:rPr>
        <w:t xml:space="preserve"> and Table 3.10</w:t>
      </w:r>
      <w:r w:rsidR="00FF7018">
        <w:rPr>
          <w:rFonts w:ascii="Times New Roman" w:hAnsi="Times New Roman" w:cs="Times New Roman"/>
        </w:rPr>
        <w:t>)</w:t>
      </w:r>
      <w:r w:rsidR="009961AC" w:rsidRPr="009961AC">
        <w:rPr>
          <w:rFonts w:ascii="Times New Roman" w:hAnsi="Times New Roman" w:cs="Times New Roman"/>
        </w:rPr>
        <w:t xml:space="preserve">. </w:t>
      </w:r>
    </w:p>
    <w:p w14:paraId="69574E3E" w14:textId="436021B4" w:rsidR="00FF7018" w:rsidRPr="00FF7018" w:rsidRDefault="00BC4FE2" w:rsidP="00FF7018">
      <w:pPr>
        <w:pStyle w:val="Heading6"/>
        <w:rPr>
          <w:rFonts w:ascii="Times New Roman" w:hAnsi="Times New Roman" w:cs="Times New Roman"/>
          <w:b/>
          <w:color w:val="auto"/>
          <w:sz w:val="24"/>
          <w:szCs w:val="24"/>
        </w:rPr>
      </w:pPr>
      <w:r>
        <w:rPr>
          <w:rFonts w:ascii="Times New Roman" w:hAnsi="Times New Roman" w:cs="Times New Roman"/>
          <w:b/>
          <w:caps w:val="0"/>
          <w:color w:val="auto"/>
          <w:sz w:val="24"/>
          <w:szCs w:val="24"/>
        </w:rPr>
        <w:t>Figure 3.7</w:t>
      </w:r>
      <w:r w:rsidR="00FF7018">
        <w:rPr>
          <w:rFonts w:ascii="Times New Roman" w:hAnsi="Times New Roman" w:cs="Times New Roman"/>
          <w:b/>
          <w:caps w:val="0"/>
          <w:color w:val="auto"/>
          <w:sz w:val="24"/>
          <w:szCs w:val="24"/>
        </w:rPr>
        <w:t>: E</w:t>
      </w:r>
      <w:r w:rsidR="00FF7018" w:rsidRPr="009961AC">
        <w:rPr>
          <w:rFonts w:ascii="Times New Roman" w:hAnsi="Times New Roman" w:cs="Times New Roman"/>
          <w:b/>
          <w:caps w:val="0"/>
          <w:color w:val="auto"/>
          <w:sz w:val="24"/>
          <w:szCs w:val="24"/>
        </w:rPr>
        <w:t>xpenditure b</w:t>
      </w:r>
      <w:r>
        <w:rPr>
          <w:rFonts w:ascii="Times New Roman" w:hAnsi="Times New Roman" w:cs="Times New Roman"/>
          <w:b/>
          <w:caps w:val="0"/>
          <w:color w:val="auto"/>
          <w:sz w:val="24"/>
          <w:szCs w:val="24"/>
        </w:rPr>
        <w:t>y Functional A</w:t>
      </w:r>
      <w:r w:rsidR="00FF7018">
        <w:rPr>
          <w:rFonts w:ascii="Times New Roman" w:hAnsi="Times New Roman" w:cs="Times New Roman"/>
          <w:b/>
          <w:caps w:val="0"/>
          <w:color w:val="auto"/>
          <w:sz w:val="24"/>
          <w:szCs w:val="24"/>
        </w:rPr>
        <w:t>llocation (%</w:t>
      </w:r>
      <w:r>
        <w:rPr>
          <w:rFonts w:ascii="Times New Roman" w:hAnsi="Times New Roman" w:cs="Times New Roman"/>
          <w:b/>
          <w:caps w:val="0"/>
          <w:color w:val="auto"/>
          <w:sz w:val="24"/>
          <w:szCs w:val="24"/>
        </w:rPr>
        <w:t xml:space="preserve"> of Total E</w:t>
      </w:r>
      <w:r w:rsidR="00FF7018" w:rsidRPr="009961AC">
        <w:rPr>
          <w:rFonts w:ascii="Times New Roman" w:hAnsi="Times New Roman" w:cs="Times New Roman"/>
          <w:b/>
          <w:caps w:val="0"/>
          <w:color w:val="auto"/>
          <w:sz w:val="24"/>
          <w:szCs w:val="24"/>
        </w:rPr>
        <w:t>xpenditures)</w:t>
      </w:r>
      <w:r w:rsidR="00FF7018" w:rsidRPr="009961AC">
        <w:rPr>
          <w:rFonts w:ascii="Times New Roman" w:hAnsi="Times New Roman" w:cs="Times New Roman"/>
          <w:b/>
          <w:color w:val="auto"/>
          <w:sz w:val="24"/>
          <w:szCs w:val="24"/>
        </w:rPr>
        <w:t>, 2010-2013</w:t>
      </w:r>
    </w:p>
    <w:p w14:paraId="55619C01" w14:textId="3EBEFFF9" w:rsidR="00FF7018" w:rsidRDefault="00FF7018" w:rsidP="00FF7018">
      <w:pPr>
        <w:spacing w:line="360" w:lineRule="auto"/>
        <w:contextualSpacing/>
        <w:jc w:val="both"/>
        <w:rPr>
          <w:rFonts w:ascii="Times New Roman" w:hAnsi="Times New Roman" w:cs="Times New Roman"/>
        </w:rPr>
      </w:pPr>
      <w:r w:rsidRPr="002C7C6D">
        <w:rPr>
          <w:rFonts w:ascii="Book Antiqua" w:hAnsi="Book Antiqua"/>
          <w:noProof/>
          <w:lang w:val="en-US"/>
        </w:rPr>
        <w:drawing>
          <wp:inline distT="0" distB="0" distL="0" distR="0" wp14:anchorId="0039C726" wp14:editId="4399AA83">
            <wp:extent cx="5731510" cy="2788302"/>
            <wp:effectExtent l="0" t="0" r="2540" b="12065"/>
            <wp:docPr id="12"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9961AC">
        <w:rPr>
          <w:rFonts w:ascii="Times New Roman" w:hAnsi="Times New Roman" w:cs="Times New Roman"/>
          <w:b/>
          <w:u w:val="single"/>
        </w:rPr>
        <w:t>Source</w:t>
      </w:r>
      <w:r w:rsidR="00BC4FE2">
        <w:rPr>
          <w:rFonts w:ascii="Times New Roman" w:hAnsi="Times New Roman" w:cs="Times New Roman"/>
        </w:rPr>
        <w:t>: MTEF (</w:t>
      </w:r>
      <w:r>
        <w:rPr>
          <w:rFonts w:ascii="Times New Roman" w:hAnsi="Times New Roman" w:cs="Times New Roman"/>
        </w:rPr>
        <w:t>2014</w:t>
      </w:r>
      <w:r w:rsidR="00BC4FE2">
        <w:rPr>
          <w:rFonts w:ascii="Times New Roman" w:hAnsi="Times New Roman" w:cs="Times New Roman"/>
        </w:rPr>
        <w:t>)</w:t>
      </w:r>
    </w:p>
    <w:p w14:paraId="1CAAB964" w14:textId="77777777" w:rsidR="00FF7018" w:rsidRDefault="00FF7018" w:rsidP="009961AC">
      <w:pPr>
        <w:spacing w:line="360" w:lineRule="auto"/>
        <w:contextualSpacing/>
        <w:jc w:val="both"/>
        <w:rPr>
          <w:rFonts w:ascii="Times New Roman" w:hAnsi="Times New Roman" w:cs="Times New Roman"/>
        </w:rPr>
      </w:pPr>
    </w:p>
    <w:p w14:paraId="5C9701CD" w14:textId="77777777" w:rsidR="00FF7018" w:rsidRDefault="009961AC" w:rsidP="009961AC">
      <w:pPr>
        <w:spacing w:line="360" w:lineRule="auto"/>
        <w:contextualSpacing/>
        <w:jc w:val="both"/>
        <w:rPr>
          <w:rFonts w:ascii="Times New Roman" w:hAnsi="Times New Roman" w:cs="Times New Roman"/>
        </w:rPr>
      </w:pPr>
      <w:r w:rsidRPr="009961AC">
        <w:rPr>
          <w:rFonts w:ascii="Times New Roman" w:hAnsi="Times New Roman" w:cs="Times New Roman"/>
        </w:rPr>
        <w:t>Overall, the allocation to the education function remai</w:t>
      </w:r>
      <w:r w:rsidR="00173D39">
        <w:rPr>
          <w:rFonts w:ascii="Times New Roman" w:hAnsi="Times New Roman" w:cs="Times New Roman"/>
        </w:rPr>
        <w:t>ned in the region of 18 percent. Admittedly, this</w:t>
      </w:r>
      <w:r w:rsidRPr="009961AC">
        <w:rPr>
          <w:rFonts w:ascii="Times New Roman" w:hAnsi="Times New Roman" w:cs="Times New Roman"/>
        </w:rPr>
        <w:t xml:space="preserve"> does fall short of the Education for All Fast Track Initiative(EFA-FTI) that prescribe a benchmark of at least 20 percent of the total expenditure budget to be allocated to the educational sector. In addition to continued support for basic education, these resources went towards increased access to and quality of high school education and the recruitment of 20,000 teachers. </w:t>
      </w:r>
    </w:p>
    <w:p w14:paraId="7FBA3961" w14:textId="77777777" w:rsidR="00F251E8" w:rsidRDefault="00F251E8" w:rsidP="009961AC">
      <w:pPr>
        <w:spacing w:line="360" w:lineRule="auto"/>
        <w:contextualSpacing/>
        <w:jc w:val="both"/>
        <w:rPr>
          <w:rFonts w:ascii="Times New Roman" w:hAnsi="Times New Roman" w:cs="Times New Roman"/>
        </w:rPr>
      </w:pPr>
    </w:p>
    <w:p w14:paraId="26382EDB" w14:textId="77777777" w:rsidR="00F251E8" w:rsidRDefault="00F251E8" w:rsidP="009961AC">
      <w:pPr>
        <w:spacing w:line="360" w:lineRule="auto"/>
        <w:contextualSpacing/>
        <w:jc w:val="both"/>
        <w:rPr>
          <w:rFonts w:ascii="Times New Roman" w:hAnsi="Times New Roman" w:cs="Times New Roman"/>
        </w:rPr>
      </w:pPr>
    </w:p>
    <w:p w14:paraId="546A61B2" w14:textId="77777777" w:rsidR="00F251E8" w:rsidRDefault="00F251E8" w:rsidP="009961AC">
      <w:pPr>
        <w:spacing w:line="360" w:lineRule="auto"/>
        <w:contextualSpacing/>
        <w:jc w:val="both"/>
        <w:rPr>
          <w:rFonts w:ascii="Times New Roman" w:hAnsi="Times New Roman" w:cs="Times New Roman"/>
        </w:rPr>
      </w:pPr>
    </w:p>
    <w:p w14:paraId="1032D736" w14:textId="77777777" w:rsidR="00F251E8" w:rsidRDefault="00F251E8" w:rsidP="009961AC">
      <w:pPr>
        <w:spacing w:line="360" w:lineRule="auto"/>
        <w:contextualSpacing/>
        <w:jc w:val="both"/>
        <w:rPr>
          <w:rFonts w:ascii="Times New Roman" w:hAnsi="Times New Roman" w:cs="Times New Roman"/>
        </w:rPr>
      </w:pPr>
    </w:p>
    <w:p w14:paraId="0976FB87" w14:textId="77777777" w:rsidR="00F251E8" w:rsidRDefault="00F251E8" w:rsidP="009961AC">
      <w:pPr>
        <w:spacing w:line="360" w:lineRule="auto"/>
        <w:contextualSpacing/>
        <w:jc w:val="both"/>
        <w:rPr>
          <w:rFonts w:ascii="Times New Roman" w:hAnsi="Times New Roman" w:cs="Times New Roman"/>
        </w:rPr>
      </w:pPr>
    </w:p>
    <w:p w14:paraId="349C1368" w14:textId="77777777" w:rsidR="00F251E8" w:rsidRDefault="00F251E8" w:rsidP="009961AC">
      <w:pPr>
        <w:spacing w:line="360" w:lineRule="auto"/>
        <w:contextualSpacing/>
        <w:jc w:val="both"/>
        <w:rPr>
          <w:rFonts w:ascii="Times New Roman" w:hAnsi="Times New Roman" w:cs="Times New Roman"/>
        </w:rPr>
      </w:pPr>
    </w:p>
    <w:p w14:paraId="2F5559D4" w14:textId="77777777" w:rsidR="00426294" w:rsidRDefault="00426294" w:rsidP="009961AC">
      <w:pPr>
        <w:spacing w:line="360" w:lineRule="auto"/>
        <w:contextualSpacing/>
        <w:jc w:val="both"/>
        <w:rPr>
          <w:rFonts w:ascii="Times New Roman" w:hAnsi="Times New Roman" w:cs="Times New Roman"/>
        </w:rPr>
      </w:pPr>
    </w:p>
    <w:p w14:paraId="7863E730" w14:textId="77777777" w:rsidR="00426294" w:rsidRDefault="00426294" w:rsidP="009961AC">
      <w:pPr>
        <w:spacing w:line="360" w:lineRule="auto"/>
        <w:contextualSpacing/>
        <w:jc w:val="both"/>
        <w:rPr>
          <w:rFonts w:ascii="Times New Roman" w:hAnsi="Times New Roman" w:cs="Times New Roman"/>
        </w:rPr>
      </w:pPr>
    </w:p>
    <w:p w14:paraId="282CF276" w14:textId="77777777" w:rsidR="00FF7018" w:rsidRDefault="00FF7018" w:rsidP="00FF7018">
      <w:pPr>
        <w:spacing w:line="360" w:lineRule="auto"/>
        <w:contextualSpacing/>
        <w:jc w:val="both"/>
        <w:rPr>
          <w:rFonts w:ascii="Times New Roman" w:hAnsi="Times New Roman" w:cs="Times New Roman"/>
        </w:rPr>
      </w:pPr>
    </w:p>
    <w:p w14:paraId="5F5E5C4D" w14:textId="605A11BB" w:rsidR="00FF7018" w:rsidRPr="0011765F" w:rsidRDefault="00BC4FE2" w:rsidP="00FF7018">
      <w:pPr>
        <w:spacing w:line="360" w:lineRule="auto"/>
        <w:contextualSpacing/>
        <w:jc w:val="both"/>
        <w:rPr>
          <w:rFonts w:ascii="Times New Roman" w:hAnsi="Times New Roman" w:cs="Times New Roman"/>
          <w:b/>
        </w:rPr>
      </w:pPr>
      <w:r>
        <w:rPr>
          <w:rFonts w:ascii="Times New Roman" w:hAnsi="Times New Roman" w:cs="Times New Roman"/>
          <w:b/>
        </w:rPr>
        <w:t>Table 3.10</w:t>
      </w:r>
      <w:r w:rsidR="00FF7018" w:rsidRPr="0011765F">
        <w:rPr>
          <w:rFonts w:ascii="Times New Roman" w:hAnsi="Times New Roman" w:cs="Times New Roman"/>
          <w:b/>
        </w:rPr>
        <w:t>: Total Allocations and Actual Expenditures on Education (%), 2009-2013</w:t>
      </w:r>
    </w:p>
    <w:tbl>
      <w:tblPr>
        <w:tblStyle w:val="ListTable21"/>
        <w:tblW w:w="5000" w:type="pct"/>
        <w:tblLook w:val="04A0" w:firstRow="1" w:lastRow="0" w:firstColumn="1" w:lastColumn="0" w:noHBand="0" w:noVBand="1"/>
      </w:tblPr>
      <w:tblGrid>
        <w:gridCol w:w="1013"/>
        <w:gridCol w:w="3608"/>
        <w:gridCol w:w="3510"/>
        <w:gridCol w:w="1111"/>
      </w:tblGrid>
      <w:tr w:rsidR="00FF7018" w14:paraId="7E46793E" w14:textId="77777777" w:rsidTr="00426B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8" w:type="pct"/>
          </w:tcPr>
          <w:p w14:paraId="4207E218" w14:textId="77777777" w:rsidR="00FF7018" w:rsidRDefault="00FF7018" w:rsidP="00426B3B">
            <w:pPr>
              <w:spacing w:line="360" w:lineRule="auto"/>
              <w:contextualSpacing/>
              <w:jc w:val="both"/>
              <w:rPr>
                <w:rFonts w:ascii="Times New Roman" w:hAnsi="Times New Roman" w:cs="Times New Roman"/>
              </w:rPr>
            </w:pPr>
          </w:p>
        </w:tc>
        <w:tc>
          <w:tcPr>
            <w:tcW w:w="1952" w:type="pct"/>
          </w:tcPr>
          <w:p w14:paraId="437990AE" w14:textId="77777777" w:rsidR="00FF7018" w:rsidRDefault="00FF7018" w:rsidP="00426B3B">
            <w:pPr>
              <w:spacing w:line="360" w:lineRule="auto"/>
              <w:contextualSpacing/>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Allocation to education sector </w:t>
            </w:r>
          </w:p>
          <w:p w14:paraId="29B03483" w14:textId="77777777" w:rsidR="00FF7018" w:rsidRDefault="00FF7018" w:rsidP="00426B3B">
            <w:pPr>
              <w:spacing w:line="360" w:lineRule="auto"/>
              <w:contextualSpacing/>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percent of total budget)</w:t>
            </w:r>
          </w:p>
        </w:tc>
        <w:tc>
          <w:tcPr>
            <w:tcW w:w="1899" w:type="pct"/>
          </w:tcPr>
          <w:p w14:paraId="67DB3C23" w14:textId="77777777" w:rsidR="00FF7018" w:rsidRDefault="00FF7018" w:rsidP="00426B3B">
            <w:pPr>
              <w:spacing w:line="360" w:lineRule="auto"/>
              <w:contextualSpacing/>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Actual expenditure</w:t>
            </w:r>
          </w:p>
          <w:p w14:paraId="609EED8B" w14:textId="77777777" w:rsidR="00FF7018" w:rsidRDefault="00FF7018" w:rsidP="00426B3B">
            <w:pPr>
              <w:spacing w:line="360" w:lineRule="auto"/>
              <w:contextualSpacing/>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as % of total expenditure)</w:t>
            </w:r>
          </w:p>
        </w:tc>
        <w:tc>
          <w:tcPr>
            <w:tcW w:w="601" w:type="pct"/>
          </w:tcPr>
          <w:p w14:paraId="4C0BDDBD" w14:textId="77777777" w:rsidR="00FF7018" w:rsidRDefault="00FF7018" w:rsidP="00426B3B">
            <w:pPr>
              <w:spacing w:line="360" w:lineRule="auto"/>
              <w:contextualSpacing/>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Variance</w:t>
            </w:r>
          </w:p>
        </w:tc>
      </w:tr>
      <w:tr w:rsidR="00FF7018" w14:paraId="722037B7" w14:textId="77777777" w:rsidTr="00426B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8" w:type="pct"/>
          </w:tcPr>
          <w:p w14:paraId="70A63AB4" w14:textId="77777777" w:rsidR="00FF7018" w:rsidRDefault="00FF7018" w:rsidP="00426B3B">
            <w:pPr>
              <w:spacing w:line="360" w:lineRule="auto"/>
              <w:contextualSpacing/>
              <w:jc w:val="both"/>
              <w:rPr>
                <w:rFonts w:ascii="Times New Roman" w:hAnsi="Times New Roman" w:cs="Times New Roman"/>
              </w:rPr>
            </w:pPr>
            <w:r>
              <w:rPr>
                <w:rFonts w:ascii="Times New Roman" w:hAnsi="Times New Roman" w:cs="Times New Roman"/>
              </w:rPr>
              <w:t>2009</w:t>
            </w:r>
          </w:p>
        </w:tc>
        <w:tc>
          <w:tcPr>
            <w:tcW w:w="1952" w:type="pct"/>
          </w:tcPr>
          <w:p w14:paraId="3426FCE8" w14:textId="77777777" w:rsidR="00FF7018" w:rsidRDefault="00FF7018" w:rsidP="00426B3B">
            <w:pPr>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17.12</w:t>
            </w:r>
          </w:p>
        </w:tc>
        <w:tc>
          <w:tcPr>
            <w:tcW w:w="1899" w:type="pct"/>
          </w:tcPr>
          <w:p w14:paraId="56C13150" w14:textId="77777777" w:rsidR="00FF7018" w:rsidRDefault="00FF7018" w:rsidP="00426B3B">
            <w:pPr>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18.9</w:t>
            </w:r>
          </w:p>
        </w:tc>
        <w:tc>
          <w:tcPr>
            <w:tcW w:w="601" w:type="pct"/>
          </w:tcPr>
          <w:p w14:paraId="4C8DAC85" w14:textId="77777777" w:rsidR="00FF7018" w:rsidRDefault="00FF7018" w:rsidP="00426B3B">
            <w:pPr>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+1.78</w:t>
            </w:r>
          </w:p>
        </w:tc>
      </w:tr>
      <w:tr w:rsidR="00FF7018" w14:paraId="40290B91" w14:textId="77777777" w:rsidTr="00426B3B">
        <w:tc>
          <w:tcPr>
            <w:cnfStyle w:val="001000000000" w:firstRow="0" w:lastRow="0" w:firstColumn="1" w:lastColumn="0" w:oddVBand="0" w:evenVBand="0" w:oddHBand="0" w:evenHBand="0" w:firstRowFirstColumn="0" w:firstRowLastColumn="0" w:lastRowFirstColumn="0" w:lastRowLastColumn="0"/>
            <w:tcW w:w="548" w:type="pct"/>
          </w:tcPr>
          <w:p w14:paraId="590659AC" w14:textId="77777777" w:rsidR="00FF7018" w:rsidRDefault="00FF7018" w:rsidP="00426B3B">
            <w:pPr>
              <w:spacing w:line="360" w:lineRule="auto"/>
              <w:contextualSpacing/>
              <w:jc w:val="both"/>
              <w:rPr>
                <w:rFonts w:ascii="Times New Roman" w:hAnsi="Times New Roman" w:cs="Times New Roman"/>
              </w:rPr>
            </w:pPr>
            <w:r>
              <w:rPr>
                <w:rFonts w:ascii="Times New Roman" w:hAnsi="Times New Roman" w:cs="Times New Roman"/>
              </w:rPr>
              <w:t>2010</w:t>
            </w:r>
          </w:p>
        </w:tc>
        <w:tc>
          <w:tcPr>
            <w:tcW w:w="1952" w:type="pct"/>
          </w:tcPr>
          <w:p w14:paraId="63AAEE6E" w14:textId="77777777" w:rsidR="00FF7018" w:rsidRDefault="00FF7018" w:rsidP="00426B3B">
            <w:pPr>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19.2</w:t>
            </w:r>
          </w:p>
        </w:tc>
        <w:tc>
          <w:tcPr>
            <w:tcW w:w="1899" w:type="pct"/>
          </w:tcPr>
          <w:p w14:paraId="2F89CEB9" w14:textId="77777777" w:rsidR="00FF7018" w:rsidRDefault="00FF7018" w:rsidP="00426B3B">
            <w:pPr>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15.2</w:t>
            </w:r>
          </w:p>
        </w:tc>
        <w:tc>
          <w:tcPr>
            <w:tcW w:w="601" w:type="pct"/>
          </w:tcPr>
          <w:p w14:paraId="54CC641A" w14:textId="77777777" w:rsidR="00FF7018" w:rsidRDefault="00FF7018" w:rsidP="00426B3B">
            <w:pPr>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- 4</w:t>
            </w:r>
          </w:p>
        </w:tc>
      </w:tr>
      <w:tr w:rsidR="00FF7018" w14:paraId="7477F884" w14:textId="77777777" w:rsidTr="00426B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8" w:type="pct"/>
          </w:tcPr>
          <w:p w14:paraId="01AD9684" w14:textId="77777777" w:rsidR="00FF7018" w:rsidRDefault="00FF7018" w:rsidP="00426B3B">
            <w:pPr>
              <w:spacing w:line="360" w:lineRule="auto"/>
              <w:contextualSpacing/>
              <w:jc w:val="both"/>
              <w:rPr>
                <w:rFonts w:ascii="Times New Roman" w:hAnsi="Times New Roman" w:cs="Times New Roman"/>
              </w:rPr>
            </w:pPr>
            <w:r>
              <w:rPr>
                <w:rFonts w:ascii="Times New Roman" w:hAnsi="Times New Roman" w:cs="Times New Roman"/>
              </w:rPr>
              <w:t>2011</w:t>
            </w:r>
          </w:p>
        </w:tc>
        <w:tc>
          <w:tcPr>
            <w:tcW w:w="1952" w:type="pct"/>
          </w:tcPr>
          <w:p w14:paraId="7B73FB73" w14:textId="77777777" w:rsidR="00FF7018" w:rsidRDefault="00FF7018" w:rsidP="00426B3B">
            <w:pPr>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18.6</w:t>
            </w:r>
          </w:p>
        </w:tc>
        <w:tc>
          <w:tcPr>
            <w:tcW w:w="1899" w:type="pct"/>
          </w:tcPr>
          <w:p w14:paraId="2B825F25" w14:textId="77777777" w:rsidR="00FF7018" w:rsidRDefault="00FF7018" w:rsidP="00426B3B">
            <w:pPr>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14.87</w:t>
            </w:r>
          </w:p>
        </w:tc>
        <w:tc>
          <w:tcPr>
            <w:tcW w:w="601" w:type="pct"/>
          </w:tcPr>
          <w:p w14:paraId="4388DC4B" w14:textId="77777777" w:rsidR="00FF7018" w:rsidRDefault="00FF7018" w:rsidP="00426B3B">
            <w:pPr>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- 3.73</w:t>
            </w:r>
          </w:p>
        </w:tc>
      </w:tr>
      <w:tr w:rsidR="00FF7018" w14:paraId="24A86EC5" w14:textId="77777777" w:rsidTr="00426B3B">
        <w:tc>
          <w:tcPr>
            <w:cnfStyle w:val="001000000000" w:firstRow="0" w:lastRow="0" w:firstColumn="1" w:lastColumn="0" w:oddVBand="0" w:evenVBand="0" w:oddHBand="0" w:evenHBand="0" w:firstRowFirstColumn="0" w:firstRowLastColumn="0" w:lastRowFirstColumn="0" w:lastRowLastColumn="0"/>
            <w:tcW w:w="548" w:type="pct"/>
          </w:tcPr>
          <w:p w14:paraId="3985E6E6" w14:textId="77777777" w:rsidR="00FF7018" w:rsidRDefault="00FF7018" w:rsidP="00426B3B">
            <w:pPr>
              <w:spacing w:line="360" w:lineRule="auto"/>
              <w:contextualSpacing/>
              <w:jc w:val="both"/>
              <w:rPr>
                <w:rFonts w:ascii="Times New Roman" w:hAnsi="Times New Roman" w:cs="Times New Roman"/>
              </w:rPr>
            </w:pPr>
            <w:r>
              <w:rPr>
                <w:rFonts w:ascii="Times New Roman" w:hAnsi="Times New Roman" w:cs="Times New Roman"/>
              </w:rPr>
              <w:t>2012</w:t>
            </w:r>
          </w:p>
        </w:tc>
        <w:tc>
          <w:tcPr>
            <w:tcW w:w="1952" w:type="pct"/>
          </w:tcPr>
          <w:p w14:paraId="60F7E4A3" w14:textId="77777777" w:rsidR="00FF7018" w:rsidRDefault="00FF7018" w:rsidP="00426B3B">
            <w:pPr>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17.5</w:t>
            </w:r>
          </w:p>
        </w:tc>
        <w:tc>
          <w:tcPr>
            <w:tcW w:w="1899" w:type="pct"/>
          </w:tcPr>
          <w:p w14:paraId="210B2E50" w14:textId="77777777" w:rsidR="00FF7018" w:rsidRDefault="00FF7018" w:rsidP="00426B3B">
            <w:pPr>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01" w:type="pct"/>
          </w:tcPr>
          <w:p w14:paraId="44FC7885" w14:textId="77777777" w:rsidR="00FF7018" w:rsidRDefault="00FF7018" w:rsidP="00426B3B">
            <w:pPr>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FF7018" w14:paraId="1CF230AA" w14:textId="77777777" w:rsidTr="00426B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8" w:type="pct"/>
          </w:tcPr>
          <w:p w14:paraId="6CAE36FB" w14:textId="77777777" w:rsidR="00FF7018" w:rsidRDefault="00FF7018" w:rsidP="00426B3B">
            <w:pPr>
              <w:spacing w:line="360" w:lineRule="auto"/>
              <w:contextualSpacing/>
              <w:jc w:val="both"/>
              <w:rPr>
                <w:rFonts w:ascii="Times New Roman" w:hAnsi="Times New Roman" w:cs="Times New Roman"/>
              </w:rPr>
            </w:pPr>
            <w:r>
              <w:rPr>
                <w:rFonts w:ascii="Times New Roman" w:hAnsi="Times New Roman" w:cs="Times New Roman"/>
              </w:rPr>
              <w:t>2013</w:t>
            </w:r>
          </w:p>
        </w:tc>
        <w:tc>
          <w:tcPr>
            <w:tcW w:w="1952" w:type="pct"/>
          </w:tcPr>
          <w:p w14:paraId="72803CF5" w14:textId="77777777" w:rsidR="00FF7018" w:rsidRDefault="00FF7018" w:rsidP="00426B3B">
            <w:pPr>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17.5</w:t>
            </w:r>
          </w:p>
        </w:tc>
        <w:tc>
          <w:tcPr>
            <w:tcW w:w="1899" w:type="pct"/>
          </w:tcPr>
          <w:p w14:paraId="3CAF73EC" w14:textId="77777777" w:rsidR="00FF7018" w:rsidRDefault="00FF7018" w:rsidP="00426B3B">
            <w:pPr>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12.32</w:t>
            </w:r>
          </w:p>
        </w:tc>
        <w:tc>
          <w:tcPr>
            <w:tcW w:w="601" w:type="pct"/>
          </w:tcPr>
          <w:p w14:paraId="31FEF462" w14:textId="77777777" w:rsidR="00FF7018" w:rsidRDefault="00FF7018" w:rsidP="00426B3B">
            <w:pPr>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-5.18</w:t>
            </w:r>
          </w:p>
        </w:tc>
      </w:tr>
      <w:tr w:rsidR="00FF7018" w14:paraId="3FED1F77" w14:textId="77777777" w:rsidTr="00426B3B">
        <w:tc>
          <w:tcPr>
            <w:cnfStyle w:val="001000000000" w:firstRow="0" w:lastRow="0" w:firstColumn="1" w:lastColumn="0" w:oddVBand="0" w:evenVBand="0" w:oddHBand="0" w:evenHBand="0" w:firstRowFirstColumn="0" w:firstRowLastColumn="0" w:lastRowFirstColumn="0" w:lastRowLastColumn="0"/>
            <w:tcW w:w="548" w:type="pct"/>
          </w:tcPr>
          <w:p w14:paraId="1241B42A" w14:textId="77777777" w:rsidR="00FF7018" w:rsidRDefault="00FF7018" w:rsidP="00426B3B">
            <w:pPr>
              <w:spacing w:line="360" w:lineRule="auto"/>
              <w:contextualSpacing/>
              <w:jc w:val="both"/>
              <w:rPr>
                <w:rFonts w:ascii="Times New Roman" w:hAnsi="Times New Roman" w:cs="Times New Roman"/>
              </w:rPr>
            </w:pPr>
            <w:r>
              <w:rPr>
                <w:rFonts w:ascii="Times New Roman" w:hAnsi="Times New Roman" w:cs="Times New Roman"/>
              </w:rPr>
              <w:t>2014</w:t>
            </w:r>
          </w:p>
        </w:tc>
        <w:tc>
          <w:tcPr>
            <w:tcW w:w="1952" w:type="pct"/>
          </w:tcPr>
          <w:p w14:paraId="7DA970E4" w14:textId="77777777" w:rsidR="00FF7018" w:rsidRDefault="00FF7018" w:rsidP="00426B3B">
            <w:pPr>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20.2</w:t>
            </w:r>
          </w:p>
        </w:tc>
        <w:tc>
          <w:tcPr>
            <w:tcW w:w="1899" w:type="pct"/>
          </w:tcPr>
          <w:p w14:paraId="685CDF86" w14:textId="77777777" w:rsidR="00FF7018" w:rsidRDefault="00FF7018" w:rsidP="00426B3B">
            <w:pPr>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01" w:type="pct"/>
          </w:tcPr>
          <w:p w14:paraId="4DF80BE5" w14:textId="77777777" w:rsidR="00FF7018" w:rsidRDefault="00FF7018" w:rsidP="00426B3B">
            <w:pPr>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06DCF8D1" w14:textId="50BF3BB4" w:rsidR="00FF7018" w:rsidRDefault="00FF7018" w:rsidP="00FF7018">
      <w:pPr>
        <w:spacing w:line="360" w:lineRule="auto"/>
        <w:contextualSpacing/>
        <w:jc w:val="both"/>
        <w:rPr>
          <w:rFonts w:ascii="Times New Roman" w:hAnsi="Times New Roman" w:cs="Times New Roman"/>
        </w:rPr>
      </w:pPr>
      <w:r w:rsidRPr="0011765F">
        <w:rPr>
          <w:rFonts w:ascii="Times New Roman" w:hAnsi="Times New Roman" w:cs="Times New Roman"/>
          <w:b/>
        </w:rPr>
        <w:t>Source</w:t>
      </w:r>
      <w:r>
        <w:rPr>
          <w:rFonts w:ascii="Times New Roman" w:hAnsi="Times New Roman" w:cs="Times New Roman"/>
        </w:rPr>
        <w:t>: Mi</w:t>
      </w:r>
      <w:r w:rsidR="00594741">
        <w:rPr>
          <w:rFonts w:ascii="Times New Roman" w:hAnsi="Times New Roman" w:cs="Times New Roman"/>
        </w:rPr>
        <w:t>nistry of Finance (Budget Speeches, 2010-2015; Financial R</w:t>
      </w:r>
      <w:r>
        <w:rPr>
          <w:rFonts w:ascii="Times New Roman" w:hAnsi="Times New Roman" w:cs="Times New Roman"/>
        </w:rPr>
        <w:t>eports, 2009-2013</w:t>
      </w:r>
      <w:r w:rsidR="009F64A8">
        <w:rPr>
          <w:rFonts w:ascii="Times New Roman" w:hAnsi="Times New Roman" w:cs="Times New Roman"/>
        </w:rPr>
        <w:t>; Estimates of Revenue and Expenditure, 2010-2015</w:t>
      </w:r>
      <w:r w:rsidR="00594741">
        <w:rPr>
          <w:rFonts w:ascii="Times New Roman" w:hAnsi="Times New Roman" w:cs="Times New Roman"/>
        </w:rPr>
        <w:t>)</w:t>
      </w:r>
    </w:p>
    <w:p w14:paraId="54261C53" w14:textId="77777777" w:rsidR="0066081E" w:rsidRDefault="0066081E" w:rsidP="009961AC">
      <w:pPr>
        <w:spacing w:line="360" w:lineRule="auto"/>
        <w:contextualSpacing/>
        <w:jc w:val="both"/>
        <w:rPr>
          <w:rFonts w:ascii="Times New Roman" w:hAnsi="Times New Roman" w:cs="Times New Roman"/>
          <w:b/>
        </w:rPr>
      </w:pPr>
    </w:p>
    <w:p w14:paraId="1235212B" w14:textId="455F12A8" w:rsidR="00594741" w:rsidRPr="00594741" w:rsidRDefault="006F1EB2" w:rsidP="009961AC">
      <w:pPr>
        <w:spacing w:line="360" w:lineRule="auto"/>
        <w:contextualSpacing/>
        <w:jc w:val="both"/>
        <w:rPr>
          <w:rFonts w:ascii="Times New Roman" w:hAnsi="Times New Roman" w:cs="Times New Roman"/>
          <w:b/>
        </w:rPr>
      </w:pPr>
      <w:r>
        <w:rPr>
          <w:rFonts w:ascii="Times New Roman" w:hAnsi="Times New Roman" w:cs="Times New Roman"/>
          <w:b/>
        </w:rPr>
        <w:t>Figure 3.8</w:t>
      </w:r>
      <w:r w:rsidR="00594741" w:rsidRPr="00927EB6">
        <w:rPr>
          <w:rFonts w:ascii="Times New Roman" w:hAnsi="Times New Roman" w:cs="Times New Roman"/>
          <w:b/>
        </w:rPr>
        <w:t xml:space="preserve">: </w:t>
      </w:r>
      <w:r w:rsidR="00594741">
        <w:rPr>
          <w:rFonts w:ascii="Times New Roman" w:hAnsi="Times New Roman" w:cs="Times New Roman"/>
          <w:b/>
        </w:rPr>
        <w:t xml:space="preserve">Total Budget Allocations and Actual </w:t>
      </w:r>
      <w:r w:rsidR="00594741" w:rsidRPr="00927EB6">
        <w:rPr>
          <w:rFonts w:ascii="Times New Roman" w:hAnsi="Times New Roman" w:cs="Times New Roman"/>
          <w:b/>
        </w:rPr>
        <w:t>Expenditure (%), 2006- 2014</w:t>
      </w:r>
    </w:p>
    <w:p w14:paraId="1B463834" w14:textId="77777777" w:rsidR="00FF7018" w:rsidRDefault="00594741" w:rsidP="009961AC">
      <w:pPr>
        <w:spacing w:line="360" w:lineRule="auto"/>
        <w:contextualSpacing/>
        <w:jc w:val="both"/>
        <w:rPr>
          <w:rFonts w:ascii="Times New Roman" w:hAnsi="Times New Roman" w:cs="Times New Roman"/>
        </w:rPr>
      </w:pPr>
      <w:r>
        <w:rPr>
          <w:noProof/>
          <w:lang w:val="en-US"/>
        </w:rPr>
        <w:drawing>
          <wp:inline distT="0" distB="0" distL="0" distR="0" wp14:anchorId="792F35C9" wp14:editId="232F5236">
            <wp:extent cx="5731510" cy="2679667"/>
            <wp:effectExtent l="0" t="0" r="2540" b="698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1F667ABC" w14:textId="3AD44823" w:rsidR="006F1EB2" w:rsidRDefault="006F1EB2" w:rsidP="006F1EB2">
      <w:pPr>
        <w:spacing w:line="360" w:lineRule="auto"/>
        <w:contextualSpacing/>
        <w:jc w:val="both"/>
        <w:rPr>
          <w:rFonts w:ascii="Times New Roman" w:hAnsi="Times New Roman" w:cs="Times New Roman"/>
        </w:rPr>
      </w:pPr>
      <w:r w:rsidRPr="0011765F">
        <w:rPr>
          <w:rFonts w:ascii="Times New Roman" w:hAnsi="Times New Roman" w:cs="Times New Roman"/>
          <w:b/>
        </w:rPr>
        <w:t>Source</w:t>
      </w:r>
      <w:r>
        <w:rPr>
          <w:rFonts w:ascii="Times New Roman" w:hAnsi="Times New Roman" w:cs="Times New Roman"/>
        </w:rPr>
        <w:t>: Ministry of Finance (Budget Speeches, 2010-2015; Financial Reports, 2009-2013</w:t>
      </w:r>
      <w:r w:rsidR="009F64A8">
        <w:rPr>
          <w:rFonts w:ascii="Times New Roman" w:hAnsi="Times New Roman" w:cs="Times New Roman"/>
        </w:rPr>
        <w:t>; Estimates of Revenue and Expenditure</w:t>
      </w:r>
      <w:r w:rsidR="00426294">
        <w:rPr>
          <w:rFonts w:ascii="Times New Roman" w:hAnsi="Times New Roman" w:cs="Times New Roman"/>
        </w:rPr>
        <w:t>, 2010-2014</w:t>
      </w:r>
      <w:r>
        <w:rPr>
          <w:rFonts w:ascii="Times New Roman" w:hAnsi="Times New Roman" w:cs="Times New Roman"/>
        </w:rPr>
        <w:t>)</w:t>
      </w:r>
    </w:p>
    <w:p w14:paraId="6FE6E49A" w14:textId="577FD6CD" w:rsidR="00FF7018" w:rsidRDefault="00FF7018" w:rsidP="009961AC">
      <w:pPr>
        <w:spacing w:line="360" w:lineRule="auto"/>
        <w:contextualSpacing/>
        <w:jc w:val="both"/>
        <w:rPr>
          <w:rFonts w:ascii="Times New Roman" w:hAnsi="Times New Roman" w:cs="Times New Roman"/>
        </w:rPr>
      </w:pPr>
    </w:p>
    <w:p w14:paraId="336584A0" w14:textId="77777777" w:rsidR="00D4790B" w:rsidRDefault="009961AC" w:rsidP="009961AC">
      <w:pPr>
        <w:spacing w:line="360" w:lineRule="auto"/>
        <w:contextualSpacing/>
        <w:jc w:val="both"/>
        <w:rPr>
          <w:rFonts w:ascii="Times New Roman" w:hAnsi="Times New Roman" w:cs="Times New Roman"/>
        </w:rPr>
      </w:pPr>
      <w:r w:rsidRPr="009961AC">
        <w:rPr>
          <w:rFonts w:ascii="Times New Roman" w:hAnsi="Times New Roman" w:cs="Times New Roman"/>
        </w:rPr>
        <w:t>An outstanding concern with respect to allocation to the education function is that much of these resources were, in real terms, concentrated on the first t</w:t>
      </w:r>
      <w:r w:rsidR="002353C2">
        <w:rPr>
          <w:rFonts w:ascii="Times New Roman" w:hAnsi="Times New Roman" w:cs="Times New Roman"/>
        </w:rPr>
        <w:t>wo-tiers of education i.e. primary</w:t>
      </w:r>
      <w:r w:rsidR="00D4790B">
        <w:rPr>
          <w:rFonts w:ascii="Times New Roman" w:hAnsi="Times New Roman" w:cs="Times New Roman"/>
        </w:rPr>
        <w:t xml:space="preserve"> education and secondary</w:t>
      </w:r>
      <w:r w:rsidRPr="009961AC">
        <w:rPr>
          <w:rFonts w:ascii="Times New Roman" w:hAnsi="Times New Roman" w:cs="Times New Roman"/>
        </w:rPr>
        <w:t xml:space="preserve"> school</w:t>
      </w:r>
      <w:r w:rsidR="00D4790B">
        <w:rPr>
          <w:rFonts w:ascii="Times New Roman" w:hAnsi="Times New Roman" w:cs="Times New Roman"/>
        </w:rPr>
        <w:t xml:space="preserve"> (Figure 3.9</w:t>
      </w:r>
      <w:r w:rsidR="00FF7018">
        <w:rPr>
          <w:rFonts w:ascii="Times New Roman" w:hAnsi="Times New Roman" w:cs="Times New Roman"/>
        </w:rPr>
        <w:t>)</w:t>
      </w:r>
      <w:r w:rsidRPr="009961AC">
        <w:rPr>
          <w:rFonts w:ascii="Times New Roman" w:hAnsi="Times New Roman" w:cs="Times New Roman"/>
        </w:rPr>
        <w:t xml:space="preserve">. </w:t>
      </w:r>
      <w:r w:rsidR="00FF7018">
        <w:rPr>
          <w:rFonts w:ascii="Times New Roman" w:hAnsi="Times New Roman" w:cs="Times New Roman"/>
        </w:rPr>
        <w:t>Early child development and</w:t>
      </w:r>
      <w:r w:rsidRPr="009961AC">
        <w:rPr>
          <w:rFonts w:ascii="Times New Roman" w:hAnsi="Times New Roman" w:cs="Times New Roman"/>
        </w:rPr>
        <w:t xml:space="preserve"> tertiary edu</w:t>
      </w:r>
      <w:r w:rsidR="00FF7018">
        <w:rPr>
          <w:rFonts w:ascii="Times New Roman" w:hAnsi="Times New Roman" w:cs="Times New Roman"/>
        </w:rPr>
        <w:t>cation sector</w:t>
      </w:r>
      <w:r w:rsidR="00D4790B">
        <w:rPr>
          <w:rFonts w:ascii="Times New Roman" w:hAnsi="Times New Roman" w:cs="Times New Roman"/>
        </w:rPr>
        <w:t>s</w:t>
      </w:r>
      <w:r w:rsidR="00FF7018">
        <w:rPr>
          <w:rFonts w:ascii="Times New Roman" w:hAnsi="Times New Roman" w:cs="Times New Roman"/>
        </w:rPr>
        <w:t xml:space="preserve"> have not been</w:t>
      </w:r>
      <w:r w:rsidRPr="009961AC">
        <w:rPr>
          <w:rFonts w:ascii="Times New Roman" w:hAnsi="Times New Roman" w:cs="Times New Roman"/>
        </w:rPr>
        <w:t xml:space="preserve"> prioritised. Thus, the </w:t>
      </w:r>
      <w:r w:rsidR="002353C2">
        <w:rPr>
          <w:rFonts w:ascii="Times New Roman" w:hAnsi="Times New Roman" w:cs="Times New Roman"/>
        </w:rPr>
        <w:t xml:space="preserve">funding </w:t>
      </w:r>
      <w:r w:rsidRPr="009961AC">
        <w:rPr>
          <w:rFonts w:ascii="Times New Roman" w:hAnsi="Times New Roman" w:cs="Times New Roman"/>
        </w:rPr>
        <w:t>role of Government in skills development</w:t>
      </w:r>
      <w:r w:rsidR="002353C2">
        <w:rPr>
          <w:rFonts w:ascii="Times New Roman" w:hAnsi="Times New Roman" w:cs="Times New Roman"/>
        </w:rPr>
        <w:t xml:space="preserve"> and early childhood development </w:t>
      </w:r>
      <w:r w:rsidR="002353C2" w:rsidRPr="009961AC">
        <w:rPr>
          <w:rFonts w:ascii="Times New Roman" w:hAnsi="Times New Roman" w:cs="Times New Roman"/>
        </w:rPr>
        <w:t>remained</w:t>
      </w:r>
      <w:r w:rsidRPr="009961AC">
        <w:rPr>
          <w:rFonts w:ascii="Times New Roman" w:hAnsi="Times New Roman" w:cs="Times New Roman"/>
        </w:rPr>
        <w:t xml:space="preserve"> </w:t>
      </w:r>
      <w:r w:rsidR="002353C2">
        <w:rPr>
          <w:rFonts w:ascii="Times New Roman" w:hAnsi="Times New Roman" w:cs="Times New Roman"/>
        </w:rPr>
        <w:t xml:space="preserve">rather on the </w:t>
      </w:r>
      <w:r w:rsidRPr="009961AC">
        <w:rPr>
          <w:rFonts w:ascii="Times New Roman" w:hAnsi="Times New Roman" w:cs="Times New Roman"/>
        </w:rPr>
        <w:t>weak</w:t>
      </w:r>
      <w:r w:rsidR="002353C2">
        <w:rPr>
          <w:rFonts w:ascii="Times New Roman" w:hAnsi="Times New Roman" w:cs="Times New Roman"/>
        </w:rPr>
        <w:t xml:space="preserve"> side throughout the EFA/MDG reference period</w:t>
      </w:r>
      <w:r w:rsidRPr="009961AC">
        <w:rPr>
          <w:rFonts w:ascii="Times New Roman" w:hAnsi="Times New Roman" w:cs="Times New Roman"/>
        </w:rPr>
        <w:t xml:space="preserve">. </w:t>
      </w:r>
      <w:r w:rsidR="002353C2">
        <w:rPr>
          <w:rFonts w:ascii="Times New Roman" w:hAnsi="Times New Roman" w:cs="Times New Roman"/>
        </w:rPr>
        <w:t xml:space="preserve"> A related concern</w:t>
      </w:r>
      <w:r w:rsidR="00BE459D">
        <w:rPr>
          <w:rFonts w:ascii="Times New Roman" w:hAnsi="Times New Roman" w:cs="Times New Roman"/>
        </w:rPr>
        <w:t xml:space="preserve"> t</w:t>
      </w:r>
      <w:r w:rsidR="00D4790B">
        <w:rPr>
          <w:rFonts w:ascii="Times New Roman" w:hAnsi="Times New Roman" w:cs="Times New Roman"/>
        </w:rPr>
        <w:t xml:space="preserve">hat can be noted from Figure 3.8 </w:t>
      </w:r>
      <w:r w:rsidR="00BE459D">
        <w:rPr>
          <w:rFonts w:ascii="Times New Roman" w:hAnsi="Times New Roman" w:cs="Times New Roman"/>
        </w:rPr>
        <w:t>above is</w:t>
      </w:r>
      <w:r w:rsidR="002353C2">
        <w:rPr>
          <w:rFonts w:ascii="Times New Roman" w:hAnsi="Times New Roman" w:cs="Times New Roman"/>
        </w:rPr>
        <w:t xml:space="preserve"> </w:t>
      </w:r>
      <w:r w:rsidR="00BE459D">
        <w:rPr>
          <w:rFonts w:ascii="Times New Roman" w:hAnsi="Times New Roman" w:cs="Times New Roman"/>
        </w:rPr>
        <w:t>the observed</w:t>
      </w:r>
      <w:r w:rsidR="002353C2">
        <w:rPr>
          <w:rFonts w:ascii="Times New Roman" w:hAnsi="Times New Roman" w:cs="Times New Roman"/>
        </w:rPr>
        <w:t xml:space="preserve"> </w:t>
      </w:r>
      <w:r w:rsidR="00BE459D">
        <w:rPr>
          <w:rFonts w:ascii="Times New Roman" w:hAnsi="Times New Roman" w:cs="Times New Roman"/>
        </w:rPr>
        <w:t xml:space="preserve">variance between what is allocated to education and what is actually spent. </w:t>
      </w:r>
    </w:p>
    <w:p w14:paraId="390CF4E5" w14:textId="77777777" w:rsidR="00D4790B" w:rsidRDefault="00D4790B" w:rsidP="009961AC">
      <w:pPr>
        <w:spacing w:line="360" w:lineRule="auto"/>
        <w:contextualSpacing/>
        <w:jc w:val="both"/>
        <w:rPr>
          <w:rFonts w:ascii="Times New Roman" w:hAnsi="Times New Roman" w:cs="Times New Roman"/>
        </w:rPr>
      </w:pPr>
    </w:p>
    <w:p w14:paraId="3CBAD9E8" w14:textId="3A6F5EA8" w:rsidR="00DB4C2D" w:rsidRDefault="00BE459D" w:rsidP="002353C2">
      <w:pPr>
        <w:spacing w:line="360" w:lineRule="auto"/>
        <w:contextualSpacing/>
        <w:jc w:val="both"/>
        <w:rPr>
          <w:rFonts w:ascii="Times New Roman" w:hAnsi="Times New Roman" w:cs="Times New Roman"/>
        </w:rPr>
      </w:pPr>
      <w:r>
        <w:rPr>
          <w:rFonts w:ascii="Times New Roman" w:hAnsi="Times New Roman" w:cs="Times New Roman"/>
        </w:rPr>
        <w:t>Available data, suggests that actual outturns on expenditures on education have been less than what is approved. For 2010, for instance, while the total allocation was at 19.2 percent of the national budget, only 15.2 percent of national expenditures went to education. For 2011, the budget allocation was at 18.6 percent of the national budget but what was actually spent was 14.6 percent of the total government expenditures. In 2012, the total budget allocation was 17.5 of the national budget but actual expenditures dropped further to 12.32. Thus, inadequate attention to early childhood and tertiary education and disparity between budget allocation and actual expenditures are other areas</w:t>
      </w:r>
      <w:r w:rsidR="002353C2">
        <w:rPr>
          <w:rFonts w:ascii="Times New Roman" w:hAnsi="Times New Roman" w:cs="Times New Roman"/>
        </w:rPr>
        <w:t xml:space="preserve"> needing strong advocacy messages and action from CSOs.</w:t>
      </w:r>
      <w:r w:rsidR="00472C11">
        <w:rPr>
          <w:rFonts w:ascii="Times New Roman" w:hAnsi="Times New Roman" w:cs="Times New Roman"/>
        </w:rPr>
        <w:t xml:space="preserve"> On declined actual budget expenditures on education, this call for protection of education expenditure allocation to ensure improved quality inclusive education.</w:t>
      </w:r>
      <w:r w:rsidR="008C08C5" w:rsidRPr="008C08C5">
        <w:rPr>
          <w:rFonts w:ascii="Times New Roman" w:hAnsi="Times New Roman" w:cs="Times New Roman"/>
        </w:rPr>
        <w:t xml:space="preserve"> </w:t>
      </w:r>
      <w:r w:rsidR="008C08C5">
        <w:rPr>
          <w:rFonts w:ascii="Times New Roman" w:hAnsi="Times New Roman" w:cs="Times New Roman"/>
        </w:rPr>
        <w:t>Domestic releases have been generally</w:t>
      </w:r>
      <w:r w:rsidR="008C08C5" w:rsidRPr="00893028">
        <w:rPr>
          <w:rFonts w:ascii="Times New Roman" w:hAnsi="Times New Roman" w:cs="Times New Roman"/>
        </w:rPr>
        <w:t xml:space="preserve"> lower than b</w:t>
      </w:r>
      <w:r w:rsidR="008C08C5">
        <w:rPr>
          <w:rFonts w:ascii="Times New Roman" w:hAnsi="Times New Roman" w:cs="Times New Roman"/>
        </w:rPr>
        <w:t xml:space="preserve">udgeted. </w:t>
      </w:r>
      <w:r w:rsidR="00AA76B9">
        <w:rPr>
          <w:rFonts w:ascii="Times New Roman" w:hAnsi="Times New Roman" w:cs="Times New Roman"/>
        </w:rPr>
        <w:t xml:space="preserve"> </w:t>
      </w:r>
      <w:r w:rsidR="008C08C5">
        <w:rPr>
          <w:rFonts w:ascii="Times New Roman" w:hAnsi="Times New Roman" w:cs="Times New Roman"/>
        </w:rPr>
        <w:t>Further, w</w:t>
      </w:r>
      <w:r w:rsidR="008C08C5" w:rsidRPr="00893028">
        <w:rPr>
          <w:rFonts w:ascii="Times New Roman" w:hAnsi="Times New Roman" w:cs="Times New Roman"/>
        </w:rPr>
        <w:t>ith the exception of 2009,</w:t>
      </w:r>
      <w:r w:rsidR="008C08C5">
        <w:rPr>
          <w:rFonts w:ascii="Times New Roman" w:hAnsi="Times New Roman" w:cs="Times New Roman"/>
        </w:rPr>
        <w:t xml:space="preserve"> the country spends less than 4 percent</w:t>
      </w:r>
      <w:r w:rsidR="008C08C5" w:rsidRPr="00893028">
        <w:rPr>
          <w:rFonts w:ascii="Times New Roman" w:hAnsi="Times New Roman" w:cs="Times New Roman"/>
        </w:rPr>
        <w:t xml:space="preserve"> of its GDP on educ</w:t>
      </w:r>
      <w:r w:rsidR="008C08C5">
        <w:rPr>
          <w:rFonts w:ascii="Times New Roman" w:hAnsi="Times New Roman" w:cs="Times New Roman"/>
        </w:rPr>
        <w:t>ation against an average spending of 5.3 percent</w:t>
      </w:r>
      <w:r w:rsidR="008C08C5" w:rsidRPr="00893028">
        <w:rPr>
          <w:rFonts w:ascii="Times New Roman" w:hAnsi="Times New Roman" w:cs="Times New Roman"/>
        </w:rPr>
        <w:t xml:space="preserve"> in comparative countries. In </w:t>
      </w:r>
      <w:r w:rsidR="008C08C5">
        <w:rPr>
          <w:rFonts w:ascii="Times New Roman" w:hAnsi="Times New Roman" w:cs="Times New Roman"/>
        </w:rPr>
        <w:t>terms of per capita GDP, Zambia spends about 8.6 percent</w:t>
      </w:r>
      <w:r w:rsidR="008C08C5" w:rsidRPr="00893028">
        <w:rPr>
          <w:rFonts w:ascii="Times New Roman" w:hAnsi="Times New Roman" w:cs="Times New Roman"/>
        </w:rPr>
        <w:t xml:space="preserve"> on basic education, while the average </w:t>
      </w:r>
      <w:r w:rsidR="008C08C5">
        <w:rPr>
          <w:rFonts w:ascii="Times New Roman" w:hAnsi="Times New Roman" w:cs="Times New Roman"/>
        </w:rPr>
        <w:t>in least developed countries is about 12.4 percent (MoE, 2009:</w:t>
      </w:r>
      <w:r w:rsidR="008C08C5" w:rsidRPr="00893028">
        <w:rPr>
          <w:rFonts w:ascii="Times New Roman" w:hAnsi="Times New Roman" w:cs="Times New Roman"/>
        </w:rPr>
        <w:t xml:space="preserve">14). </w:t>
      </w:r>
      <w:r w:rsidR="008C08C5">
        <w:rPr>
          <w:rFonts w:ascii="Times New Roman" w:hAnsi="Times New Roman" w:cs="Times New Roman"/>
        </w:rPr>
        <w:t>Comparative countries devote 25 percent</w:t>
      </w:r>
      <w:r w:rsidR="008C08C5" w:rsidRPr="00893028">
        <w:rPr>
          <w:rFonts w:ascii="Times New Roman" w:hAnsi="Times New Roman" w:cs="Times New Roman"/>
        </w:rPr>
        <w:t xml:space="preserve"> of</w:t>
      </w:r>
      <w:r w:rsidR="008C08C5">
        <w:rPr>
          <w:rFonts w:ascii="Times New Roman" w:hAnsi="Times New Roman" w:cs="Times New Roman"/>
        </w:rPr>
        <w:t xml:space="preserve"> their domestic </w:t>
      </w:r>
      <w:r w:rsidR="008C08C5" w:rsidRPr="00893028">
        <w:rPr>
          <w:rFonts w:ascii="Times New Roman" w:hAnsi="Times New Roman" w:cs="Times New Roman"/>
        </w:rPr>
        <w:t>discretionary budgets to education, compared to Zambia’s</w:t>
      </w:r>
      <w:r w:rsidR="00AA76B9">
        <w:rPr>
          <w:rFonts w:ascii="Times New Roman" w:hAnsi="Times New Roman" w:cs="Times New Roman"/>
        </w:rPr>
        <w:t xml:space="preserve"> 20 percent</w:t>
      </w:r>
      <w:r w:rsidR="008C08C5">
        <w:rPr>
          <w:rFonts w:ascii="Times New Roman" w:hAnsi="Times New Roman" w:cs="Times New Roman"/>
        </w:rPr>
        <w:t xml:space="preserve">. </w:t>
      </w:r>
      <w:r w:rsidR="00AA76B9">
        <w:rPr>
          <w:rFonts w:ascii="Times New Roman" w:hAnsi="Times New Roman" w:cs="Times New Roman"/>
        </w:rPr>
        <w:t>Advocacy messages on the need for increased financing of education will, therefore, need to be heightened.</w:t>
      </w:r>
    </w:p>
    <w:p w14:paraId="64E3D030" w14:textId="77777777" w:rsidR="00D4790B" w:rsidRDefault="00D4790B" w:rsidP="002353C2">
      <w:pPr>
        <w:spacing w:line="360" w:lineRule="auto"/>
        <w:contextualSpacing/>
        <w:jc w:val="both"/>
        <w:rPr>
          <w:rFonts w:ascii="Times New Roman" w:hAnsi="Times New Roman" w:cs="Times New Roman"/>
        </w:rPr>
      </w:pPr>
    </w:p>
    <w:p w14:paraId="674661F6" w14:textId="7A047266" w:rsidR="002353C2" w:rsidRPr="001E1303" w:rsidRDefault="00D4790B" w:rsidP="002353C2">
      <w:pPr>
        <w:spacing w:line="360" w:lineRule="auto"/>
        <w:contextualSpacing/>
        <w:jc w:val="both"/>
        <w:rPr>
          <w:rFonts w:ascii="Times New Roman" w:hAnsi="Times New Roman" w:cs="Times New Roman"/>
          <w:b/>
        </w:rPr>
      </w:pPr>
      <w:r>
        <w:rPr>
          <w:rFonts w:ascii="Times New Roman" w:hAnsi="Times New Roman" w:cs="Times New Roman"/>
          <w:b/>
        </w:rPr>
        <w:t>Figure 3.9</w:t>
      </w:r>
      <w:r w:rsidR="002353C2" w:rsidRPr="001E1303">
        <w:rPr>
          <w:rFonts w:ascii="Times New Roman" w:hAnsi="Times New Roman" w:cs="Times New Roman"/>
          <w:b/>
        </w:rPr>
        <w:t xml:space="preserve">:  </w:t>
      </w:r>
      <w:r w:rsidR="002353C2">
        <w:rPr>
          <w:rFonts w:ascii="Times New Roman" w:hAnsi="Times New Roman" w:cs="Times New Roman"/>
          <w:b/>
        </w:rPr>
        <w:t>T</w:t>
      </w:r>
      <w:r w:rsidR="002353C2" w:rsidRPr="001E1303">
        <w:rPr>
          <w:rFonts w:ascii="Times New Roman" w:hAnsi="Times New Roman" w:cs="Times New Roman"/>
          <w:b/>
        </w:rPr>
        <w:t>rends</w:t>
      </w:r>
      <w:r w:rsidR="002353C2">
        <w:rPr>
          <w:rFonts w:ascii="Times New Roman" w:hAnsi="Times New Roman" w:cs="Times New Roman"/>
          <w:b/>
        </w:rPr>
        <w:t xml:space="preserve"> and Patterns</w:t>
      </w:r>
      <w:r w:rsidR="002353C2" w:rsidRPr="001E1303">
        <w:rPr>
          <w:rFonts w:ascii="Times New Roman" w:hAnsi="Times New Roman" w:cs="Times New Roman"/>
          <w:b/>
        </w:rPr>
        <w:t xml:space="preserve"> in </w:t>
      </w:r>
      <w:r w:rsidR="002353C2">
        <w:rPr>
          <w:rFonts w:ascii="Times New Roman" w:hAnsi="Times New Roman" w:cs="Times New Roman"/>
          <w:b/>
        </w:rPr>
        <w:t>Education Sub-sector Expenditures (%</w:t>
      </w:r>
      <w:r w:rsidR="002353C2" w:rsidRPr="001E1303">
        <w:rPr>
          <w:rFonts w:ascii="Times New Roman" w:hAnsi="Times New Roman" w:cs="Times New Roman"/>
          <w:b/>
        </w:rPr>
        <w:t xml:space="preserve"> of GDP), 1998-2008</w:t>
      </w:r>
    </w:p>
    <w:p w14:paraId="1228FB8D" w14:textId="77777777" w:rsidR="002353C2" w:rsidRPr="002B091F" w:rsidRDefault="002353C2" w:rsidP="002353C2">
      <w:pPr>
        <w:spacing w:line="360" w:lineRule="auto"/>
        <w:contextualSpacing/>
        <w:jc w:val="both"/>
        <w:rPr>
          <w:rFonts w:ascii="Times New Roman" w:hAnsi="Times New Roman" w:cs="Times New Roman"/>
        </w:rPr>
      </w:pPr>
      <w:r>
        <w:rPr>
          <w:noProof/>
          <w:lang w:val="en-US"/>
        </w:rPr>
        <w:drawing>
          <wp:inline distT="0" distB="0" distL="0" distR="0" wp14:anchorId="6971B490" wp14:editId="4A28D513">
            <wp:extent cx="5905500" cy="2341880"/>
            <wp:effectExtent l="0" t="0" r="0" b="127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49471A40" w14:textId="77777777" w:rsidR="002353C2" w:rsidRDefault="002353C2" w:rsidP="002353C2">
      <w:pPr>
        <w:spacing w:line="360" w:lineRule="auto"/>
        <w:contextualSpacing/>
        <w:jc w:val="both"/>
        <w:rPr>
          <w:rFonts w:ascii="Times New Roman" w:hAnsi="Times New Roman" w:cs="Times New Roman"/>
        </w:rPr>
      </w:pPr>
      <w:r w:rsidRPr="00C754D4">
        <w:rPr>
          <w:rFonts w:ascii="Times New Roman" w:hAnsi="Times New Roman" w:cs="Times New Roman"/>
          <w:b/>
        </w:rPr>
        <w:t>World Bank</w:t>
      </w:r>
      <w:r>
        <w:rPr>
          <w:rFonts w:ascii="Times New Roman" w:hAnsi="Times New Roman" w:cs="Times New Roman"/>
        </w:rPr>
        <w:t>, World Development Indicators (2010).</w:t>
      </w:r>
    </w:p>
    <w:p w14:paraId="47C6F4C6" w14:textId="77777777" w:rsidR="00DB4C2D" w:rsidRDefault="00DB4C2D" w:rsidP="009961AC">
      <w:pPr>
        <w:spacing w:line="360" w:lineRule="auto"/>
        <w:contextualSpacing/>
        <w:jc w:val="both"/>
        <w:rPr>
          <w:rFonts w:ascii="Times New Roman" w:hAnsi="Times New Roman" w:cs="Times New Roman"/>
        </w:rPr>
      </w:pPr>
    </w:p>
    <w:p w14:paraId="5AC673E6" w14:textId="77777777" w:rsidR="0006627F" w:rsidRDefault="00D4790B" w:rsidP="007C7A08">
      <w:pPr>
        <w:spacing w:line="360" w:lineRule="auto"/>
        <w:contextualSpacing/>
        <w:jc w:val="both"/>
        <w:rPr>
          <w:rFonts w:ascii="Times New Roman" w:hAnsi="Times New Roman" w:cs="Times New Roman"/>
        </w:rPr>
      </w:pPr>
      <w:r w:rsidRPr="0006627F">
        <w:rPr>
          <w:rFonts w:ascii="Times New Roman" w:hAnsi="Times New Roman" w:cs="Times New Roman"/>
        </w:rPr>
        <w:t>Figure 3.9</w:t>
      </w:r>
      <w:r w:rsidR="00472C11" w:rsidRPr="0006627F">
        <w:rPr>
          <w:rFonts w:ascii="Times New Roman" w:hAnsi="Times New Roman" w:cs="Times New Roman"/>
        </w:rPr>
        <w:t xml:space="preserve"> also reveals a generally fluctuating trend in terms of government expenditures on education as a percent of GDP. While there was a steep rise between 1999 and 2004</w:t>
      </w:r>
      <w:r w:rsidR="008B112E" w:rsidRPr="0006627F">
        <w:rPr>
          <w:rFonts w:ascii="Times New Roman" w:hAnsi="Times New Roman" w:cs="Times New Roman"/>
        </w:rPr>
        <w:t xml:space="preserve"> (</w:t>
      </w:r>
      <w:r w:rsidR="00472C11" w:rsidRPr="0006627F">
        <w:rPr>
          <w:rFonts w:ascii="Times New Roman" w:hAnsi="Times New Roman" w:cs="Times New Roman"/>
        </w:rPr>
        <w:t xml:space="preserve">due mainly to BESSIP and donor good will towards MoESP soon after the EFA/MDGs declaration), there was a decline after 2004 that does not board </w:t>
      </w:r>
      <w:r w:rsidR="008B112E" w:rsidRPr="0006627F">
        <w:rPr>
          <w:rFonts w:ascii="Times New Roman" w:hAnsi="Times New Roman" w:cs="Times New Roman"/>
        </w:rPr>
        <w:t>well with</w:t>
      </w:r>
      <w:r w:rsidR="00472C11" w:rsidRPr="0006627F">
        <w:rPr>
          <w:rFonts w:ascii="Times New Roman" w:hAnsi="Times New Roman" w:cs="Times New Roman"/>
        </w:rPr>
        <w:t xml:space="preserve"> the need to ensure quality inclusive education.</w:t>
      </w:r>
      <w:r w:rsidR="0006627F">
        <w:rPr>
          <w:rFonts w:ascii="Times New Roman" w:hAnsi="Times New Roman" w:cs="Times New Roman"/>
        </w:rPr>
        <w:t xml:space="preserve"> The Government must </w:t>
      </w:r>
      <w:r w:rsidR="008B112E" w:rsidRPr="0006627F">
        <w:rPr>
          <w:rFonts w:ascii="Times New Roman" w:hAnsi="Times New Roman" w:cs="Times New Roman"/>
        </w:rPr>
        <w:t>ensure protection of education expenditures as well as</w:t>
      </w:r>
      <w:r w:rsidR="009961AC" w:rsidRPr="0006627F">
        <w:rPr>
          <w:rFonts w:ascii="Times New Roman" w:hAnsi="Times New Roman" w:cs="Times New Roman"/>
        </w:rPr>
        <w:t xml:space="preserve"> systematically e</w:t>
      </w:r>
      <w:r w:rsidR="00FF7018" w:rsidRPr="0006627F">
        <w:rPr>
          <w:rFonts w:ascii="Times New Roman" w:hAnsi="Times New Roman" w:cs="Times New Roman"/>
        </w:rPr>
        <w:t xml:space="preserve">nsure equity of allocation across all the </w:t>
      </w:r>
      <w:r w:rsidR="009961AC" w:rsidRPr="0006627F">
        <w:rPr>
          <w:rFonts w:ascii="Times New Roman" w:hAnsi="Times New Roman" w:cs="Times New Roman"/>
        </w:rPr>
        <w:t xml:space="preserve">tiers of the education system in Zambia. In this way, Government will </w:t>
      </w:r>
      <w:r w:rsidR="008B112E" w:rsidRPr="0006627F">
        <w:rPr>
          <w:rFonts w:ascii="Times New Roman" w:hAnsi="Times New Roman" w:cs="Times New Roman"/>
        </w:rPr>
        <w:t xml:space="preserve">enable equitable and </w:t>
      </w:r>
      <w:r w:rsidR="009961AC" w:rsidRPr="0006627F">
        <w:rPr>
          <w:rFonts w:ascii="Times New Roman" w:hAnsi="Times New Roman" w:cs="Times New Roman"/>
        </w:rPr>
        <w:t>progressive investment</w:t>
      </w:r>
      <w:r w:rsidR="008B112E" w:rsidRPr="0006627F">
        <w:rPr>
          <w:rFonts w:ascii="Times New Roman" w:hAnsi="Times New Roman" w:cs="Times New Roman"/>
        </w:rPr>
        <w:t xml:space="preserve"> in education and skills development that will stand the country in good stead to meet needs</w:t>
      </w:r>
      <w:r w:rsidR="00FF7018" w:rsidRPr="0006627F">
        <w:rPr>
          <w:rFonts w:ascii="Times New Roman" w:hAnsi="Times New Roman" w:cs="Times New Roman"/>
        </w:rPr>
        <w:t xml:space="preserve"> of pre-school learners and the </w:t>
      </w:r>
      <w:r w:rsidR="008B112E" w:rsidRPr="0006627F">
        <w:rPr>
          <w:rFonts w:ascii="Times New Roman" w:hAnsi="Times New Roman" w:cs="Times New Roman"/>
        </w:rPr>
        <w:t>changing market demand</w:t>
      </w:r>
      <w:r w:rsidR="009961AC" w:rsidRPr="0006627F">
        <w:rPr>
          <w:rFonts w:ascii="Times New Roman" w:hAnsi="Times New Roman" w:cs="Times New Roman"/>
        </w:rPr>
        <w:t xml:space="preserve">.  Of course, as   </w:t>
      </w:r>
      <w:r w:rsidR="007C7A08" w:rsidRPr="0006627F">
        <w:rPr>
          <w:rFonts w:ascii="Times New Roman" w:hAnsi="Times New Roman" w:cs="Times New Roman"/>
        </w:rPr>
        <w:t xml:space="preserve">it does this, it must act to improve budget transparency and accountability. </w:t>
      </w:r>
    </w:p>
    <w:p w14:paraId="1A960380" w14:textId="77777777" w:rsidR="0006627F" w:rsidRDefault="0006627F" w:rsidP="007C7A08">
      <w:pPr>
        <w:spacing w:line="360" w:lineRule="auto"/>
        <w:contextualSpacing/>
        <w:jc w:val="both"/>
        <w:rPr>
          <w:rFonts w:ascii="Times New Roman" w:hAnsi="Times New Roman" w:cs="Times New Roman"/>
        </w:rPr>
      </w:pPr>
    </w:p>
    <w:p w14:paraId="0CD60A19" w14:textId="693A40CC" w:rsidR="0011765F" w:rsidRDefault="007C7A08" w:rsidP="0011765F">
      <w:pPr>
        <w:spacing w:line="360" w:lineRule="auto"/>
        <w:contextualSpacing/>
        <w:jc w:val="both"/>
        <w:rPr>
          <w:rFonts w:ascii="Times New Roman" w:hAnsi="Times New Roman" w:cs="Times New Roman"/>
        </w:rPr>
      </w:pPr>
      <w:r w:rsidRPr="007C7A08">
        <w:rPr>
          <w:rFonts w:ascii="Times New Roman" w:hAnsi="Times New Roman" w:cs="Times New Roman"/>
        </w:rPr>
        <w:t xml:space="preserve">During the period 2010 to 2014, releases from cooperating partners (sector pool, including the FTI tranches) </w:t>
      </w:r>
      <w:r w:rsidRPr="0006627F">
        <w:rPr>
          <w:rFonts w:ascii="Times New Roman" w:hAnsi="Times New Roman" w:cs="Times New Roman"/>
        </w:rPr>
        <w:t>were</w:t>
      </w:r>
      <w:r w:rsidRPr="007C7A08">
        <w:rPr>
          <w:rFonts w:ascii="Times New Roman" w:hAnsi="Times New Roman" w:cs="Times New Roman"/>
        </w:rPr>
        <w:t xml:space="preserve"> much lower than anticipated, because of a lack of progress on a number of issues and alleged irregularities in the sector. The cooperating </w:t>
      </w:r>
      <w:r w:rsidR="0006627F" w:rsidRPr="007C7A08">
        <w:rPr>
          <w:rFonts w:ascii="Times New Roman" w:hAnsi="Times New Roman" w:cs="Times New Roman"/>
        </w:rPr>
        <w:t>par</w:t>
      </w:r>
      <w:r w:rsidR="0006627F">
        <w:rPr>
          <w:rFonts w:ascii="Times New Roman" w:hAnsi="Times New Roman" w:cs="Times New Roman"/>
        </w:rPr>
        <w:t>tners became</w:t>
      </w:r>
      <w:r w:rsidRPr="007C7A08">
        <w:rPr>
          <w:rFonts w:ascii="Times New Roman" w:hAnsi="Times New Roman" w:cs="Times New Roman"/>
        </w:rPr>
        <w:t xml:space="preserve"> more critical of the effectiveness of cooperation in the education sector. By the end of 2010, for instance, they showed serious concerns over the lack of progress on the introduction of targeted budget support and the lack of follow-up on the fiduciary risk assessment and a number of other issues. It appears the</w:t>
      </w:r>
      <w:r w:rsidR="0006627F">
        <w:rPr>
          <w:rFonts w:ascii="Times New Roman" w:hAnsi="Times New Roman" w:cs="Times New Roman"/>
        </w:rPr>
        <w:t xml:space="preserve"> transparency and</w:t>
      </w:r>
      <w:r w:rsidRPr="007C7A08">
        <w:rPr>
          <w:rFonts w:ascii="Times New Roman" w:hAnsi="Times New Roman" w:cs="Times New Roman"/>
        </w:rPr>
        <w:t xml:space="preserve"> accountability system</w:t>
      </w:r>
      <w:r w:rsidR="00165948" w:rsidRPr="0006627F">
        <w:rPr>
          <w:rFonts w:ascii="Times New Roman" w:hAnsi="Times New Roman" w:cs="Times New Roman"/>
        </w:rPr>
        <w:t xml:space="preserve"> in the education sector</w:t>
      </w:r>
      <w:r w:rsidRPr="007C7A08">
        <w:rPr>
          <w:rFonts w:ascii="Times New Roman" w:hAnsi="Times New Roman" w:cs="Times New Roman"/>
        </w:rPr>
        <w:t xml:space="preserve"> is institutionally weak. Alleged irregularities, revealed by the Auditor General, confirm this conclusion.  </w:t>
      </w:r>
      <w:r w:rsidR="0006627F">
        <w:rPr>
          <w:rFonts w:ascii="Times New Roman" w:hAnsi="Times New Roman" w:cs="Times New Roman"/>
        </w:rPr>
        <w:t>T</w:t>
      </w:r>
      <w:r w:rsidRPr="007C7A08">
        <w:rPr>
          <w:rFonts w:ascii="Times New Roman" w:hAnsi="Times New Roman" w:cs="Times New Roman"/>
        </w:rPr>
        <w:t>here is also a strong sense that the current sector dialogue mechanisms are not working effectively because meetings are regularly delayed or</w:t>
      </w:r>
      <w:r w:rsidR="0006627F">
        <w:rPr>
          <w:rFonts w:ascii="Times New Roman" w:hAnsi="Times New Roman" w:cs="Times New Roman"/>
        </w:rPr>
        <w:t xml:space="preserve"> cancelled and that</w:t>
      </w:r>
      <w:r w:rsidRPr="007C7A08">
        <w:rPr>
          <w:rFonts w:ascii="Times New Roman" w:hAnsi="Times New Roman" w:cs="Times New Roman"/>
        </w:rPr>
        <w:t xml:space="preserve"> there is inadequate representation at appropriate levels. According to the Ministry of Education, some government institutions did not have incentives to participate. According to the Ministry, cooperating partners were</w:t>
      </w:r>
      <w:r w:rsidR="00165948" w:rsidRPr="0006627F">
        <w:rPr>
          <w:rFonts w:ascii="Times New Roman" w:hAnsi="Times New Roman" w:cs="Times New Roman"/>
        </w:rPr>
        <w:t xml:space="preserve"> on the other hand</w:t>
      </w:r>
      <w:r w:rsidRPr="007C7A08">
        <w:rPr>
          <w:rFonts w:ascii="Times New Roman" w:hAnsi="Times New Roman" w:cs="Times New Roman"/>
        </w:rPr>
        <w:t xml:space="preserve"> constantly revising their expectations towards government before funds could be released. However, even when the targets were met, funds were still not released and more targets would be drawn up, resulting in frustration and distrust from the government’s side.</w:t>
      </w:r>
      <w:r w:rsidR="00165948" w:rsidRPr="0006627F">
        <w:rPr>
          <w:rFonts w:ascii="Times New Roman" w:hAnsi="Times New Roman" w:cs="Times New Roman"/>
        </w:rPr>
        <w:t xml:space="preserve"> Altogether, this call</w:t>
      </w:r>
      <w:r w:rsidR="002443C8">
        <w:rPr>
          <w:rFonts w:ascii="Times New Roman" w:hAnsi="Times New Roman" w:cs="Times New Roman"/>
        </w:rPr>
        <w:t>s</w:t>
      </w:r>
      <w:r w:rsidR="00165948" w:rsidRPr="0006627F">
        <w:rPr>
          <w:rFonts w:ascii="Times New Roman" w:hAnsi="Times New Roman" w:cs="Times New Roman"/>
        </w:rPr>
        <w:t xml:space="preserve"> for strengthening mechanism</w:t>
      </w:r>
      <w:r w:rsidR="002443C8">
        <w:rPr>
          <w:rFonts w:ascii="Times New Roman" w:hAnsi="Times New Roman" w:cs="Times New Roman"/>
        </w:rPr>
        <w:t>s</w:t>
      </w:r>
      <w:r w:rsidR="00165948" w:rsidRPr="0006627F">
        <w:rPr>
          <w:rFonts w:ascii="Times New Roman" w:hAnsi="Times New Roman" w:cs="Times New Roman"/>
        </w:rPr>
        <w:t xml:space="preserve"> for transparency and accountability. There is no doubt that failure to redress major institutional challenges affecting resource management, accountability and transparency will continue to deprive the national treasury of the much needed resources to implement programmes intended to advance EFA goals.</w:t>
      </w:r>
    </w:p>
    <w:p w14:paraId="0878CDE7" w14:textId="77777777" w:rsidR="007E4087" w:rsidRPr="0006627F" w:rsidRDefault="007E4087" w:rsidP="0011765F">
      <w:pPr>
        <w:spacing w:line="360" w:lineRule="auto"/>
        <w:contextualSpacing/>
        <w:jc w:val="both"/>
        <w:rPr>
          <w:rFonts w:ascii="Times New Roman" w:hAnsi="Times New Roman" w:cs="Times New Roman"/>
        </w:rPr>
      </w:pPr>
    </w:p>
    <w:p w14:paraId="0A4E10E4" w14:textId="0E94B590" w:rsidR="008B112E" w:rsidRPr="008B112E" w:rsidRDefault="008B112E" w:rsidP="008B112E">
      <w:pPr>
        <w:pStyle w:val="Heading2"/>
      </w:pPr>
      <w:bookmarkStart w:id="40" w:name="_Toc458687363"/>
      <w:r>
        <w:t>4.3</w:t>
      </w:r>
      <w:r>
        <w:tab/>
      </w:r>
      <w:r w:rsidRPr="008B112E">
        <w:t>T</w:t>
      </w:r>
      <w:r w:rsidR="00F251E8">
        <w:t>rends in Current and Potential Sources of National R</w:t>
      </w:r>
      <w:r w:rsidR="001A40D8" w:rsidRPr="008B112E">
        <w:t>evenue</w:t>
      </w:r>
      <w:bookmarkEnd w:id="40"/>
      <w:r w:rsidR="001A40D8" w:rsidRPr="008B112E">
        <w:t xml:space="preserve"> </w:t>
      </w:r>
    </w:p>
    <w:p w14:paraId="1D7FC90C" w14:textId="77777777" w:rsidR="007E4087" w:rsidRDefault="007E4087" w:rsidP="008B112E">
      <w:pPr>
        <w:spacing w:line="360" w:lineRule="auto"/>
        <w:jc w:val="both"/>
        <w:rPr>
          <w:rFonts w:ascii="Times New Roman" w:hAnsi="Times New Roman" w:cs="Times New Roman"/>
        </w:rPr>
      </w:pPr>
    </w:p>
    <w:p w14:paraId="1886FF83" w14:textId="29CF01FD" w:rsidR="0067458F" w:rsidRDefault="0067458F" w:rsidP="008B112E">
      <w:pPr>
        <w:spacing w:line="360" w:lineRule="auto"/>
        <w:jc w:val="both"/>
        <w:rPr>
          <w:rFonts w:ascii="Times New Roman" w:hAnsi="Times New Roman" w:cs="Times New Roman"/>
        </w:rPr>
      </w:pPr>
      <w:r>
        <w:rPr>
          <w:rFonts w:ascii="Times New Roman" w:hAnsi="Times New Roman" w:cs="Times New Roman"/>
        </w:rPr>
        <w:t xml:space="preserve">Current trends in existing sources of national revenue in Zambia indicates that the major source is direct taxes (on personal income and profits). For the period 2009 to 2013, direct taxes fluctuated between USD 1.01 billion and USD 2.9 billion. Direct taxes peaked at USD 2.9 </w:t>
      </w:r>
      <w:r w:rsidR="00E64446">
        <w:rPr>
          <w:rFonts w:ascii="Times New Roman" w:hAnsi="Times New Roman" w:cs="Times New Roman"/>
        </w:rPr>
        <w:t>billion</w:t>
      </w:r>
      <w:r>
        <w:rPr>
          <w:rFonts w:ascii="Times New Roman" w:hAnsi="Times New Roman" w:cs="Times New Roman"/>
        </w:rPr>
        <w:t xml:space="preserve"> in 2011 but have declined thereafter to</w:t>
      </w:r>
      <w:r w:rsidR="00426B3B">
        <w:rPr>
          <w:rFonts w:ascii="Times New Roman" w:hAnsi="Times New Roman" w:cs="Times New Roman"/>
        </w:rPr>
        <w:t xml:space="preserve"> rest at </w:t>
      </w:r>
      <w:r w:rsidR="00E64446">
        <w:rPr>
          <w:rFonts w:ascii="Times New Roman" w:hAnsi="Times New Roman" w:cs="Times New Roman"/>
        </w:rPr>
        <w:t xml:space="preserve">USD </w:t>
      </w:r>
      <w:r w:rsidR="00426B3B">
        <w:rPr>
          <w:rFonts w:ascii="Times New Roman" w:hAnsi="Times New Roman" w:cs="Times New Roman"/>
        </w:rPr>
        <w:t>1.83</w:t>
      </w:r>
      <w:r w:rsidR="00E64446">
        <w:rPr>
          <w:rFonts w:ascii="Times New Roman" w:hAnsi="Times New Roman" w:cs="Times New Roman"/>
        </w:rPr>
        <w:t xml:space="preserve"> billion in 2013.  Domestic indirect taxes constitute the second major source, followed by trade taxes and then non-tax revenues. Grants from international cooperating partner makes up the other sources. Natural resource rent (e.g., mineral royalties) have been negligible during the</w:t>
      </w:r>
      <w:r w:rsidR="007E4087">
        <w:rPr>
          <w:rFonts w:ascii="Times New Roman" w:hAnsi="Times New Roman" w:cs="Times New Roman"/>
        </w:rPr>
        <w:t xml:space="preserve"> reference period (See Figure 3.10 below</w:t>
      </w:r>
      <w:r w:rsidR="00E64446">
        <w:rPr>
          <w:rFonts w:ascii="Times New Roman" w:hAnsi="Times New Roman" w:cs="Times New Roman"/>
        </w:rPr>
        <w:t>)</w:t>
      </w:r>
      <w:r w:rsidR="007E4087">
        <w:rPr>
          <w:rFonts w:ascii="Times New Roman" w:hAnsi="Times New Roman" w:cs="Times New Roman"/>
        </w:rPr>
        <w:t>.</w:t>
      </w:r>
    </w:p>
    <w:p w14:paraId="7A0604BD" w14:textId="77777777" w:rsidR="00F251E8" w:rsidRDefault="00F251E8" w:rsidP="008B112E">
      <w:pPr>
        <w:spacing w:line="360" w:lineRule="auto"/>
        <w:jc w:val="both"/>
        <w:rPr>
          <w:rFonts w:ascii="Times New Roman" w:hAnsi="Times New Roman" w:cs="Times New Roman"/>
        </w:rPr>
      </w:pPr>
    </w:p>
    <w:p w14:paraId="53F0C60A" w14:textId="77777777" w:rsidR="00F251E8" w:rsidRDefault="00F251E8" w:rsidP="008B112E">
      <w:pPr>
        <w:spacing w:line="360" w:lineRule="auto"/>
        <w:jc w:val="both"/>
        <w:rPr>
          <w:rFonts w:ascii="Times New Roman" w:hAnsi="Times New Roman" w:cs="Times New Roman"/>
        </w:rPr>
      </w:pPr>
    </w:p>
    <w:p w14:paraId="351D53B0" w14:textId="77777777" w:rsidR="00F251E8" w:rsidRDefault="00F251E8" w:rsidP="008B112E">
      <w:pPr>
        <w:spacing w:line="360" w:lineRule="auto"/>
        <w:jc w:val="both"/>
        <w:rPr>
          <w:rFonts w:ascii="Times New Roman" w:hAnsi="Times New Roman" w:cs="Times New Roman"/>
        </w:rPr>
      </w:pPr>
    </w:p>
    <w:p w14:paraId="70EF675C" w14:textId="1FE80984" w:rsidR="0067458F" w:rsidRPr="0067458F" w:rsidRDefault="007E4087" w:rsidP="0067458F">
      <w:pPr>
        <w:pStyle w:val="NoSpacing"/>
        <w:rPr>
          <w:rFonts w:ascii="Times New Roman" w:hAnsi="Times New Roman" w:cs="Times New Roman"/>
          <w:b/>
        </w:rPr>
      </w:pPr>
      <w:r>
        <w:rPr>
          <w:rFonts w:ascii="Times New Roman" w:hAnsi="Times New Roman" w:cs="Times New Roman"/>
          <w:b/>
        </w:rPr>
        <w:t>Figure 3.10</w:t>
      </w:r>
      <w:r w:rsidR="0067458F" w:rsidRPr="0067458F">
        <w:rPr>
          <w:rFonts w:ascii="Times New Roman" w:hAnsi="Times New Roman" w:cs="Times New Roman"/>
          <w:b/>
        </w:rPr>
        <w:t>: Current Trends in Sources of National Revenue (USD billion), 2009- 2013</w:t>
      </w:r>
    </w:p>
    <w:p w14:paraId="2B5D32FA" w14:textId="77777777" w:rsidR="005A584B" w:rsidRDefault="0067458F" w:rsidP="005A584B">
      <w:pPr>
        <w:spacing w:line="360" w:lineRule="auto"/>
        <w:contextualSpacing/>
        <w:jc w:val="both"/>
        <w:rPr>
          <w:rFonts w:ascii="Times New Roman" w:hAnsi="Times New Roman" w:cs="Times New Roman"/>
        </w:rPr>
      </w:pPr>
      <w:r>
        <w:rPr>
          <w:noProof/>
          <w:lang w:val="en-US"/>
        </w:rPr>
        <w:drawing>
          <wp:inline distT="0" distB="0" distL="0" distR="0" wp14:anchorId="1B830ECC" wp14:editId="0DDB7A3C">
            <wp:extent cx="5731510" cy="2962275"/>
            <wp:effectExtent l="0" t="0" r="2540" b="9525"/>
            <wp:docPr id="138" name="Chart 1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17972B8" w14:textId="444D514E" w:rsidR="0067458F" w:rsidRDefault="0067458F" w:rsidP="005A584B">
      <w:pPr>
        <w:spacing w:line="360" w:lineRule="auto"/>
        <w:contextualSpacing/>
        <w:jc w:val="both"/>
        <w:rPr>
          <w:rFonts w:ascii="Times New Roman" w:hAnsi="Times New Roman" w:cs="Times New Roman"/>
        </w:rPr>
      </w:pPr>
      <w:r w:rsidRPr="0067458F">
        <w:rPr>
          <w:rFonts w:ascii="Times New Roman" w:hAnsi="Times New Roman" w:cs="Times New Roman"/>
          <w:b/>
        </w:rPr>
        <w:t>Source</w:t>
      </w:r>
      <w:r>
        <w:rPr>
          <w:rFonts w:ascii="Times New Roman" w:hAnsi="Times New Roman" w:cs="Times New Roman"/>
        </w:rPr>
        <w:t>: Afr</w:t>
      </w:r>
      <w:r w:rsidR="007E4087">
        <w:rPr>
          <w:rFonts w:ascii="Times New Roman" w:hAnsi="Times New Roman" w:cs="Times New Roman"/>
        </w:rPr>
        <w:t>ican Economic Outlook Database (</w:t>
      </w:r>
      <w:r>
        <w:rPr>
          <w:rFonts w:ascii="Times New Roman" w:hAnsi="Times New Roman" w:cs="Times New Roman"/>
        </w:rPr>
        <w:t>2015</w:t>
      </w:r>
      <w:r w:rsidR="007E4087">
        <w:rPr>
          <w:rFonts w:ascii="Times New Roman" w:hAnsi="Times New Roman" w:cs="Times New Roman"/>
        </w:rPr>
        <w:t>)</w:t>
      </w:r>
    </w:p>
    <w:p w14:paraId="1B32C4C7" w14:textId="77777777" w:rsidR="0067458F" w:rsidRDefault="0067458F" w:rsidP="005A584B">
      <w:pPr>
        <w:spacing w:line="360" w:lineRule="auto"/>
        <w:contextualSpacing/>
        <w:jc w:val="both"/>
        <w:rPr>
          <w:rFonts w:ascii="Times New Roman" w:hAnsi="Times New Roman" w:cs="Times New Roman"/>
        </w:rPr>
      </w:pPr>
    </w:p>
    <w:p w14:paraId="05B3C829" w14:textId="386A1341" w:rsidR="005A584B" w:rsidRDefault="005A584B" w:rsidP="005A584B">
      <w:pPr>
        <w:spacing w:line="360" w:lineRule="auto"/>
        <w:contextualSpacing/>
        <w:jc w:val="both"/>
        <w:rPr>
          <w:rFonts w:ascii="Times New Roman" w:hAnsi="Times New Roman" w:cs="Times New Roman"/>
        </w:rPr>
      </w:pPr>
      <w:r w:rsidRPr="005A584B">
        <w:rPr>
          <w:rFonts w:ascii="Times New Roman" w:hAnsi="Times New Roman" w:cs="Times New Roman"/>
        </w:rPr>
        <w:t>Meeting the challenges</w:t>
      </w:r>
      <w:r w:rsidR="007E4087">
        <w:rPr>
          <w:rFonts w:ascii="Times New Roman" w:hAnsi="Times New Roman" w:cs="Times New Roman"/>
        </w:rPr>
        <w:t xml:space="preserve"> of</w:t>
      </w:r>
      <w:r w:rsidRPr="005A584B">
        <w:rPr>
          <w:rFonts w:ascii="Times New Roman" w:hAnsi="Times New Roman" w:cs="Times New Roman"/>
        </w:rPr>
        <w:t xml:space="preserve"> </w:t>
      </w:r>
      <w:r w:rsidR="007E4087">
        <w:rPr>
          <w:rFonts w:ascii="Times New Roman" w:hAnsi="Times New Roman" w:cs="Times New Roman"/>
        </w:rPr>
        <w:t>inclusive quality education</w:t>
      </w:r>
      <w:r w:rsidRPr="005A584B">
        <w:rPr>
          <w:rFonts w:ascii="Times New Roman" w:hAnsi="Times New Roman" w:cs="Times New Roman"/>
        </w:rPr>
        <w:t xml:space="preserve"> calls for substantially scaling up the financing of local economies as well as strengthening public and private i</w:t>
      </w:r>
      <w:r w:rsidR="007E4087">
        <w:rPr>
          <w:rFonts w:ascii="Times New Roman" w:hAnsi="Times New Roman" w:cs="Times New Roman"/>
        </w:rPr>
        <w:t>nstitutions. Central government</w:t>
      </w:r>
      <w:r w:rsidRPr="005A584B">
        <w:rPr>
          <w:rFonts w:ascii="Times New Roman" w:hAnsi="Times New Roman" w:cs="Times New Roman"/>
        </w:rPr>
        <w:t xml:space="preserve"> will have to provide most of the funding, which can come from more effective taxation of natural resource extraction and innovative finance mechanisms. At th</w:t>
      </w:r>
      <w:r w:rsidR="007E4087">
        <w:rPr>
          <w:rFonts w:ascii="Times New Roman" w:hAnsi="Times New Roman" w:cs="Times New Roman"/>
        </w:rPr>
        <w:t>e national</w:t>
      </w:r>
      <w:r w:rsidRPr="005A584B">
        <w:rPr>
          <w:rFonts w:ascii="Times New Roman" w:hAnsi="Times New Roman" w:cs="Times New Roman"/>
        </w:rPr>
        <w:t xml:space="preserve"> level, fiscal systems must also be bolstered across the board by using transfer </w:t>
      </w:r>
      <w:r w:rsidR="007E4087">
        <w:rPr>
          <w:rFonts w:ascii="Times New Roman" w:hAnsi="Times New Roman" w:cs="Times New Roman"/>
        </w:rPr>
        <w:t xml:space="preserve">mechanisms, expanding the </w:t>
      </w:r>
      <w:r w:rsidRPr="005A584B">
        <w:rPr>
          <w:rFonts w:ascii="Times New Roman" w:hAnsi="Times New Roman" w:cs="Times New Roman"/>
        </w:rPr>
        <w:t>fiscal base and</w:t>
      </w:r>
      <w:r w:rsidR="008773A2">
        <w:rPr>
          <w:rFonts w:ascii="Times New Roman" w:hAnsi="Times New Roman" w:cs="Times New Roman"/>
        </w:rPr>
        <w:t xml:space="preserve"> possibly</w:t>
      </w:r>
      <w:r w:rsidRPr="005A584B">
        <w:rPr>
          <w:rFonts w:ascii="Times New Roman" w:hAnsi="Times New Roman" w:cs="Times New Roman"/>
        </w:rPr>
        <w:t xml:space="preserve"> tapping capital markets.</w:t>
      </w:r>
    </w:p>
    <w:p w14:paraId="5D127368" w14:textId="77777777" w:rsidR="00C70F00" w:rsidRDefault="00C70F00" w:rsidP="005A584B">
      <w:pPr>
        <w:spacing w:line="360" w:lineRule="auto"/>
        <w:contextualSpacing/>
        <w:jc w:val="both"/>
        <w:rPr>
          <w:rFonts w:ascii="Times New Roman" w:hAnsi="Times New Roman" w:cs="Times New Roman"/>
        </w:rPr>
      </w:pPr>
    </w:p>
    <w:p w14:paraId="5EFA2A80" w14:textId="77777777" w:rsidR="001A40D8" w:rsidRPr="004C75E0" w:rsidRDefault="00B52716" w:rsidP="00A60BD4">
      <w:pPr>
        <w:pStyle w:val="Heading1"/>
        <w:spacing w:line="360" w:lineRule="auto"/>
        <w:rPr>
          <w:rFonts w:ascii="Times New Roman" w:hAnsi="Times New Roman" w:cs="Times New Roman"/>
        </w:rPr>
      </w:pPr>
      <w:bookmarkStart w:id="41" w:name="_Toc458687364"/>
      <w:r>
        <w:rPr>
          <w:rFonts w:ascii="Times New Roman" w:hAnsi="Times New Roman" w:cs="Times New Roman"/>
        </w:rPr>
        <w:t>5</w:t>
      </w:r>
      <w:r w:rsidR="005C3324" w:rsidRPr="004C75E0">
        <w:rPr>
          <w:rFonts w:ascii="Times New Roman" w:hAnsi="Times New Roman" w:cs="Times New Roman"/>
        </w:rPr>
        <w:t>.0</w:t>
      </w:r>
      <w:r w:rsidR="00081DD9">
        <w:rPr>
          <w:rFonts w:ascii="Times New Roman" w:hAnsi="Times New Roman" w:cs="Times New Roman"/>
        </w:rPr>
        <w:t>: Lessons, Conclusions and Policy R</w:t>
      </w:r>
      <w:r w:rsidR="001A40D8" w:rsidRPr="004C75E0">
        <w:rPr>
          <w:rFonts w:ascii="Times New Roman" w:hAnsi="Times New Roman" w:cs="Times New Roman"/>
        </w:rPr>
        <w:t>ecommendations</w:t>
      </w:r>
      <w:bookmarkEnd w:id="41"/>
    </w:p>
    <w:p w14:paraId="3E3D5D26" w14:textId="77777777" w:rsidR="00081DD9" w:rsidRDefault="00B52716" w:rsidP="00081DD9">
      <w:pPr>
        <w:pStyle w:val="Heading2"/>
        <w:rPr>
          <w:lang w:val="en-US"/>
        </w:rPr>
      </w:pPr>
      <w:bookmarkStart w:id="42" w:name="_Toc458687365"/>
      <w:r>
        <w:rPr>
          <w:rFonts w:ascii="Times New Roman" w:hAnsi="Times New Roman" w:cs="Times New Roman"/>
          <w:b/>
          <w:sz w:val="24"/>
          <w:szCs w:val="24"/>
          <w:lang w:val="en-US"/>
        </w:rPr>
        <w:t>5</w:t>
      </w:r>
      <w:r w:rsidR="00081DD9">
        <w:rPr>
          <w:rFonts w:ascii="Times New Roman" w:hAnsi="Times New Roman" w:cs="Times New Roman"/>
          <w:b/>
          <w:sz w:val="24"/>
          <w:szCs w:val="24"/>
          <w:lang w:val="en-US"/>
        </w:rPr>
        <w:t>.1</w:t>
      </w:r>
      <w:r w:rsidR="00081DD9">
        <w:rPr>
          <w:rFonts w:ascii="Times New Roman" w:hAnsi="Times New Roman" w:cs="Times New Roman"/>
          <w:b/>
          <w:sz w:val="24"/>
          <w:szCs w:val="24"/>
          <w:lang w:val="en-US"/>
        </w:rPr>
        <w:tab/>
      </w:r>
      <w:r w:rsidR="00081DD9">
        <w:rPr>
          <w:lang w:val="en-US"/>
        </w:rPr>
        <w:t>Key Lessons</w:t>
      </w:r>
      <w:bookmarkEnd w:id="42"/>
    </w:p>
    <w:p w14:paraId="532B53D2" w14:textId="77777777" w:rsidR="00C70F00" w:rsidRPr="00C70F00" w:rsidRDefault="00C70F00" w:rsidP="00C70F00">
      <w:pPr>
        <w:rPr>
          <w:lang w:val="en-US"/>
        </w:rPr>
      </w:pPr>
    </w:p>
    <w:p w14:paraId="403B7109" w14:textId="77777777" w:rsidR="00081DD9" w:rsidRPr="006E5623" w:rsidRDefault="00081DD9" w:rsidP="00081DD9">
      <w:pPr>
        <w:numPr>
          <w:ilvl w:val="0"/>
          <w:numId w:val="8"/>
        </w:numPr>
        <w:autoSpaceDE w:val="0"/>
        <w:autoSpaceDN w:val="0"/>
        <w:adjustRightInd w:val="0"/>
        <w:spacing w:after="0" w:line="360" w:lineRule="auto"/>
        <w:contextualSpacing/>
        <w:jc w:val="both"/>
        <w:rPr>
          <w:rFonts w:ascii="Times New Roman" w:hAnsi="Times New Roman" w:cs="Times New Roman"/>
          <w:color w:val="000000"/>
          <w:sz w:val="24"/>
          <w:szCs w:val="24"/>
        </w:rPr>
      </w:pPr>
      <w:r w:rsidRPr="004C75E0">
        <w:rPr>
          <w:rFonts w:ascii="Times New Roman" w:hAnsi="Times New Roman" w:cs="Times New Roman"/>
          <w:color w:val="000000"/>
          <w:sz w:val="24"/>
          <w:szCs w:val="24"/>
        </w:rPr>
        <w:t>Importance of securing greater balance between interventions that focus on improving access and gender parity, on one hand, and those that address retention and completion rates, on the other.</w:t>
      </w:r>
    </w:p>
    <w:p w14:paraId="436C46A1" w14:textId="0F987F00" w:rsidR="00081DD9" w:rsidRPr="006E5623" w:rsidRDefault="00081DD9" w:rsidP="00081DD9">
      <w:pPr>
        <w:numPr>
          <w:ilvl w:val="0"/>
          <w:numId w:val="8"/>
        </w:numPr>
        <w:autoSpaceDE w:val="0"/>
        <w:autoSpaceDN w:val="0"/>
        <w:adjustRightInd w:val="0"/>
        <w:spacing w:after="0" w:line="360" w:lineRule="auto"/>
        <w:contextualSpacing/>
        <w:jc w:val="both"/>
        <w:rPr>
          <w:rFonts w:ascii="Times New Roman" w:hAnsi="Times New Roman" w:cs="Times New Roman"/>
          <w:color w:val="000000"/>
          <w:sz w:val="24"/>
          <w:szCs w:val="24"/>
        </w:rPr>
      </w:pPr>
      <w:r w:rsidRPr="004C75E0">
        <w:rPr>
          <w:rFonts w:ascii="Times New Roman" w:hAnsi="Times New Roman" w:cs="Times New Roman"/>
          <w:color w:val="000000"/>
          <w:sz w:val="24"/>
          <w:szCs w:val="24"/>
        </w:rPr>
        <w:t>Q</w:t>
      </w:r>
      <w:r w:rsidR="006747A1">
        <w:rPr>
          <w:rFonts w:ascii="Times New Roman" w:hAnsi="Times New Roman" w:cs="Times New Roman"/>
          <w:color w:val="000000"/>
          <w:sz w:val="24"/>
          <w:szCs w:val="24"/>
        </w:rPr>
        <w:t>uanti</w:t>
      </w:r>
      <w:r w:rsidRPr="004C75E0">
        <w:rPr>
          <w:rFonts w:ascii="Times New Roman" w:hAnsi="Times New Roman" w:cs="Times New Roman"/>
          <w:color w:val="000000"/>
          <w:sz w:val="24"/>
          <w:szCs w:val="24"/>
        </w:rPr>
        <w:t>tative improvement in education, while necessary, are not sufficient. Improved enrolment and progression rates should be accompanied by quality teaching staff and upgraded school facilities to improve overall quality of education.</w:t>
      </w:r>
    </w:p>
    <w:p w14:paraId="58F6D878" w14:textId="77777777" w:rsidR="008B0197" w:rsidRDefault="00081DD9" w:rsidP="008B0197">
      <w:pPr>
        <w:numPr>
          <w:ilvl w:val="0"/>
          <w:numId w:val="8"/>
        </w:numPr>
        <w:autoSpaceDE w:val="0"/>
        <w:autoSpaceDN w:val="0"/>
        <w:adjustRightInd w:val="0"/>
        <w:spacing w:after="0" w:line="360" w:lineRule="auto"/>
        <w:contextualSpacing/>
        <w:jc w:val="both"/>
        <w:rPr>
          <w:rFonts w:ascii="Times New Roman" w:hAnsi="Times New Roman" w:cs="Times New Roman"/>
          <w:color w:val="000000"/>
          <w:sz w:val="24"/>
          <w:szCs w:val="24"/>
        </w:rPr>
      </w:pPr>
      <w:r w:rsidRPr="004C75E0">
        <w:rPr>
          <w:rFonts w:ascii="Times New Roman" w:hAnsi="Times New Roman" w:cs="Times New Roman"/>
          <w:color w:val="000000"/>
          <w:sz w:val="24"/>
          <w:szCs w:val="24"/>
        </w:rPr>
        <w:t xml:space="preserve">Improved governance through the devolution of education service delivery to local governments remains the most sustainable way of increasing local participation and accountability in education. </w:t>
      </w:r>
    </w:p>
    <w:p w14:paraId="4AD9FA11" w14:textId="4C66A6D5" w:rsidR="008B0197" w:rsidRPr="008B0197" w:rsidRDefault="00081DD9" w:rsidP="008B0197">
      <w:pPr>
        <w:numPr>
          <w:ilvl w:val="0"/>
          <w:numId w:val="8"/>
        </w:numPr>
        <w:autoSpaceDE w:val="0"/>
        <w:autoSpaceDN w:val="0"/>
        <w:adjustRightInd w:val="0"/>
        <w:spacing w:after="0" w:line="360" w:lineRule="auto"/>
        <w:contextualSpacing/>
        <w:jc w:val="both"/>
        <w:rPr>
          <w:rFonts w:ascii="Times New Roman" w:hAnsi="Times New Roman" w:cs="Times New Roman"/>
          <w:color w:val="000000"/>
          <w:sz w:val="24"/>
          <w:szCs w:val="24"/>
        </w:rPr>
      </w:pPr>
      <w:r w:rsidRPr="008B0197">
        <w:rPr>
          <w:rFonts w:ascii="Times New Roman" w:hAnsi="Times New Roman" w:cs="Times New Roman"/>
          <w:color w:val="000000"/>
          <w:sz w:val="24"/>
          <w:szCs w:val="24"/>
        </w:rPr>
        <w:t xml:space="preserve">Zambia’s education cannot be fully aligned to Zambia’s development needs unless it is largely domestically financed and driven. </w:t>
      </w:r>
    </w:p>
    <w:p w14:paraId="2BA91AA9" w14:textId="77777777" w:rsidR="00C70F00" w:rsidRPr="00C70F00" w:rsidRDefault="00C70F00" w:rsidP="00C70F00">
      <w:pPr>
        <w:autoSpaceDE w:val="0"/>
        <w:autoSpaceDN w:val="0"/>
        <w:adjustRightInd w:val="0"/>
        <w:spacing w:after="0" w:line="360" w:lineRule="auto"/>
        <w:ind w:left="720"/>
        <w:contextualSpacing/>
        <w:jc w:val="both"/>
        <w:rPr>
          <w:highlight w:val="yellow"/>
          <w:lang w:val="en-US"/>
        </w:rPr>
      </w:pPr>
    </w:p>
    <w:p w14:paraId="11709BF1" w14:textId="6FD6EA3D" w:rsidR="00081DD9" w:rsidRDefault="00B52716" w:rsidP="00081DD9">
      <w:pPr>
        <w:pStyle w:val="Heading2"/>
        <w:rPr>
          <w:lang w:val="en-US"/>
        </w:rPr>
      </w:pPr>
      <w:bookmarkStart w:id="43" w:name="_Toc458687366"/>
      <w:r w:rsidRPr="00BA76F7">
        <w:rPr>
          <w:lang w:val="en-US"/>
        </w:rPr>
        <w:t>5</w:t>
      </w:r>
      <w:r w:rsidR="00081DD9" w:rsidRPr="00BA76F7">
        <w:rPr>
          <w:lang w:val="en-US"/>
        </w:rPr>
        <w:t>.2</w:t>
      </w:r>
      <w:r w:rsidR="00081DD9" w:rsidRPr="00BA76F7">
        <w:rPr>
          <w:lang w:val="en-US"/>
        </w:rPr>
        <w:tab/>
        <w:t>Conclusions</w:t>
      </w:r>
      <w:bookmarkEnd w:id="43"/>
    </w:p>
    <w:p w14:paraId="281B1829" w14:textId="77777777" w:rsidR="00081DD9" w:rsidRDefault="00081DD9" w:rsidP="006E5623">
      <w:pPr>
        <w:autoSpaceDE w:val="0"/>
        <w:autoSpaceDN w:val="0"/>
        <w:adjustRightInd w:val="0"/>
        <w:spacing w:after="0" w:line="360" w:lineRule="auto"/>
        <w:jc w:val="both"/>
        <w:rPr>
          <w:rFonts w:ascii="Times New Roman" w:hAnsi="Times New Roman" w:cs="Times New Roman"/>
          <w:b/>
          <w:sz w:val="24"/>
          <w:szCs w:val="24"/>
          <w:lang w:val="en-US"/>
        </w:rPr>
      </w:pPr>
    </w:p>
    <w:p w14:paraId="345895E5" w14:textId="77777777" w:rsidR="00F84F7E" w:rsidRPr="00F84F7E" w:rsidRDefault="00F84F7E" w:rsidP="00F84F7E">
      <w:pPr>
        <w:spacing w:before="120" w:after="120" w:line="360" w:lineRule="auto"/>
        <w:jc w:val="both"/>
        <w:rPr>
          <w:rFonts w:ascii="Times New Roman" w:eastAsia="Times New Roman" w:hAnsi="Times New Roman" w:cs="Times New Roman"/>
          <w:color w:val="000000"/>
        </w:rPr>
      </w:pPr>
      <w:r w:rsidRPr="00F84F7E">
        <w:rPr>
          <w:rFonts w:ascii="Times New Roman" w:eastAsia="Times New Roman" w:hAnsi="Times New Roman" w:cs="Times New Roman"/>
          <w:color w:val="000000"/>
        </w:rPr>
        <w:t>This study has analysed current trends in progress towards achieving full enrolment, retention and quality education in Zambia and examined the situation of domestic education financing. This has been done for the purpose of identifying education gaps and opportunities that need to be carefully considered for optimising domestic revenue mobilisation towards inclusive quality education beyond 2015.</w:t>
      </w:r>
    </w:p>
    <w:p w14:paraId="457B40B7" w14:textId="25F7997F" w:rsidR="00F84F7E" w:rsidRPr="00F84F7E" w:rsidRDefault="00F84F7E" w:rsidP="00F84F7E">
      <w:pPr>
        <w:spacing w:before="120" w:after="120" w:line="360" w:lineRule="auto"/>
        <w:jc w:val="both"/>
        <w:rPr>
          <w:rFonts w:ascii="Times New Roman" w:eastAsia="Times New Roman" w:hAnsi="Times New Roman" w:cs="Times New Roman"/>
          <w:color w:val="000000"/>
        </w:rPr>
      </w:pPr>
      <w:r w:rsidRPr="00F84F7E">
        <w:rPr>
          <w:rFonts w:ascii="Times New Roman" w:eastAsia="Times New Roman" w:hAnsi="Times New Roman" w:cs="Times New Roman"/>
          <w:color w:val="000000"/>
        </w:rPr>
        <w:t xml:space="preserve">It was found that major educational infrastructural investment programmes embarked on since the mid-1990s have significantly improved the numbers of those attending basic level (primary and junior secondary) education. However, issues of quality of education have not received much attention. Overcrowding in classrooms and high pupil-teacher ratios persist. Besides, the political rhetoric surrounding Early Childhood Education (ECE) has not been accompanied by mechanisms to achieve the envisaged free and compulsory access. The sustainability of the free primary education policy remains questionable while post-basic education has not received the attention required in terms of expansion, rehabilitation, educational material support and curriculum review. Achievements in pupil performance remain low particularly in reading and mathematics while there is a mismatch between the skills coming out of the education system and the needs of </w:t>
      </w:r>
      <w:r w:rsidR="008331E0">
        <w:rPr>
          <w:rFonts w:ascii="Times New Roman" w:eastAsia="Times New Roman" w:hAnsi="Times New Roman" w:cs="Times New Roman"/>
          <w:color w:val="000000"/>
        </w:rPr>
        <w:t xml:space="preserve">the </w:t>
      </w:r>
      <w:r w:rsidRPr="00F84F7E">
        <w:rPr>
          <w:rFonts w:ascii="Times New Roman" w:eastAsia="Times New Roman" w:hAnsi="Times New Roman" w:cs="Times New Roman"/>
          <w:color w:val="000000"/>
        </w:rPr>
        <w:t>labour market. Gender gaps also exist at post-primary school levels.</w:t>
      </w:r>
    </w:p>
    <w:p w14:paraId="246E941C" w14:textId="7CE0334A" w:rsidR="00F84F7E" w:rsidRPr="00F84F7E" w:rsidRDefault="00F84F7E" w:rsidP="00F84F7E">
      <w:pPr>
        <w:spacing w:after="200" w:line="360" w:lineRule="auto"/>
        <w:contextualSpacing/>
        <w:jc w:val="both"/>
        <w:rPr>
          <w:rFonts w:ascii="Times New Roman" w:hAnsi="Times New Roman" w:cs="Times New Roman"/>
        </w:rPr>
      </w:pPr>
      <w:r w:rsidRPr="00F84F7E">
        <w:rPr>
          <w:rFonts w:ascii="Times New Roman" w:hAnsi="Times New Roman" w:cs="Times New Roman"/>
        </w:rPr>
        <w:t xml:space="preserve">On financing, it was found that the allocation to the education function remained in the region of 18 percent for the period 2010-2014 which falls short of the Education for All Fast Track Initiative(EFA-FTI) that prescribe a benchmark of at least 20 percent of the total expenditure budget to be allocated to the educational sector. An outstanding concern with respect to allocation to the education function is that much of these resources were, in real terms, concentrated on the first two-tiers of education i.e. primary education and secondary school. Early child development and tertiary education sectors have not been prioritised. The funding role of Government in skills development and early childhood development remained rather on the weak side throughout the EFA/MDG reference period.  A related concern was the observed variance between what is allocated to education and what is actually spent. It was found that actual outturns on expenditures on education have been less than what is approved. </w:t>
      </w:r>
    </w:p>
    <w:p w14:paraId="4134B1AA" w14:textId="77777777" w:rsidR="00F84F7E" w:rsidRPr="00F84F7E" w:rsidRDefault="00F84F7E" w:rsidP="00F84F7E">
      <w:pPr>
        <w:spacing w:after="200" w:line="360" w:lineRule="auto"/>
        <w:contextualSpacing/>
        <w:jc w:val="both"/>
        <w:rPr>
          <w:rFonts w:ascii="Times New Roman" w:hAnsi="Times New Roman" w:cs="Times New Roman"/>
        </w:rPr>
      </w:pPr>
    </w:p>
    <w:p w14:paraId="1D90A924" w14:textId="77777777" w:rsidR="00F84F7E" w:rsidRPr="00F84F7E" w:rsidRDefault="00F84F7E" w:rsidP="00F84F7E">
      <w:pPr>
        <w:spacing w:before="120" w:after="120" w:line="360" w:lineRule="auto"/>
        <w:jc w:val="both"/>
        <w:rPr>
          <w:rFonts w:ascii="Times New Roman" w:hAnsi="Times New Roman" w:cs="Times New Roman"/>
        </w:rPr>
      </w:pPr>
      <w:r w:rsidRPr="00F84F7E">
        <w:rPr>
          <w:rFonts w:ascii="Times New Roman" w:hAnsi="Times New Roman" w:cs="Times New Roman"/>
        </w:rPr>
        <w:t>Improvements in national revenue collection would benefit the education sector as more finances would be available for allocation. Government will need to put in place mechanisms (some very basic, others more innovative) to expand its tax base. A lot of tax goes uncollected especially in the informal sectors. Concessions extended to large scale investors would need to be reviewed so as to ensure that the net effect is not merely a loss in tax revenue. The mining sector stands out as one that needs specific attention when it comes to revenue collection. It appears clear that government has so far failed to develop mechanisms that ensure that appropriate taxes can be paid.</w:t>
      </w:r>
    </w:p>
    <w:p w14:paraId="72C0FC62" w14:textId="77777777" w:rsidR="00F84F7E" w:rsidRDefault="00F84F7E" w:rsidP="006E5623">
      <w:pPr>
        <w:autoSpaceDE w:val="0"/>
        <w:autoSpaceDN w:val="0"/>
        <w:adjustRightInd w:val="0"/>
        <w:spacing w:after="0" w:line="360" w:lineRule="auto"/>
        <w:jc w:val="both"/>
        <w:rPr>
          <w:rFonts w:ascii="Times New Roman" w:hAnsi="Times New Roman" w:cs="Times New Roman"/>
          <w:b/>
          <w:sz w:val="24"/>
          <w:szCs w:val="24"/>
          <w:lang w:val="en-US"/>
        </w:rPr>
      </w:pPr>
    </w:p>
    <w:p w14:paraId="327AABCC" w14:textId="77777777" w:rsidR="00081DD9" w:rsidRDefault="00B52716" w:rsidP="00081DD9">
      <w:pPr>
        <w:pStyle w:val="Heading2"/>
        <w:rPr>
          <w:lang w:val="en-US"/>
        </w:rPr>
      </w:pPr>
      <w:bookmarkStart w:id="44" w:name="_Toc458687367"/>
      <w:r>
        <w:rPr>
          <w:lang w:val="en-US"/>
        </w:rPr>
        <w:t>5</w:t>
      </w:r>
      <w:r w:rsidR="00081DD9">
        <w:rPr>
          <w:lang w:val="en-US"/>
        </w:rPr>
        <w:t>.3</w:t>
      </w:r>
      <w:r w:rsidR="00081DD9">
        <w:rPr>
          <w:lang w:val="en-US"/>
        </w:rPr>
        <w:tab/>
        <w:t>Recommendations</w:t>
      </w:r>
      <w:bookmarkEnd w:id="44"/>
    </w:p>
    <w:p w14:paraId="271D6EDA" w14:textId="77777777" w:rsidR="00081DD9" w:rsidRDefault="00081DD9" w:rsidP="006E5623">
      <w:pPr>
        <w:autoSpaceDE w:val="0"/>
        <w:autoSpaceDN w:val="0"/>
        <w:adjustRightInd w:val="0"/>
        <w:spacing w:after="0" w:line="360" w:lineRule="auto"/>
        <w:jc w:val="both"/>
        <w:rPr>
          <w:rFonts w:ascii="Times New Roman" w:hAnsi="Times New Roman" w:cs="Times New Roman"/>
          <w:b/>
          <w:sz w:val="24"/>
          <w:szCs w:val="24"/>
          <w:lang w:val="en-US"/>
        </w:rPr>
      </w:pPr>
    </w:p>
    <w:p w14:paraId="2F326E73" w14:textId="77777777" w:rsidR="006E5623" w:rsidRPr="004C75E0" w:rsidRDefault="006E5623" w:rsidP="006E5623">
      <w:pPr>
        <w:autoSpaceDE w:val="0"/>
        <w:autoSpaceDN w:val="0"/>
        <w:adjustRightInd w:val="0"/>
        <w:spacing w:after="0"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1.  Education gaps</w:t>
      </w:r>
    </w:p>
    <w:p w14:paraId="3CC3EFAB" w14:textId="77777777" w:rsidR="006E5623" w:rsidRPr="004C75E0" w:rsidRDefault="006E5623" w:rsidP="006E5623">
      <w:pPr>
        <w:numPr>
          <w:ilvl w:val="0"/>
          <w:numId w:val="9"/>
        </w:numPr>
        <w:autoSpaceDE w:val="0"/>
        <w:autoSpaceDN w:val="0"/>
        <w:adjustRightInd w:val="0"/>
        <w:spacing w:after="0" w:line="360" w:lineRule="auto"/>
        <w:contextualSpacing/>
        <w:jc w:val="both"/>
        <w:rPr>
          <w:rFonts w:ascii="Times New Roman" w:hAnsi="Times New Roman" w:cs="Times New Roman"/>
          <w:b/>
          <w:sz w:val="24"/>
          <w:szCs w:val="24"/>
        </w:rPr>
      </w:pPr>
      <w:r w:rsidRPr="004C75E0">
        <w:rPr>
          <w:rFonts w:ascii="Times New Roman" w:hAnsi="Times New Roman" w:cs="Times New Roman"/>
          <w:b/>
          <w:sz w:val="24"/>
          <w:szCs w:val="24"/>
        </w:rPr>
        <w:t>Balanced Approach</w:t>
      </w:r>
    </w:p>
    <w:p w14:paraId="43CE4E4F" w14:textId="77777777" w:rsidR="006E5623" w:rsidRDefault="006E5623" w:rsidP="006E5623">
      <w:pPr>
        <w:autoSpaceDE w:val="0"/>
        <w:autoSpaceDN w:val="0"/>
        <w:adjustRightInd w:val="0"/>
        <w:spacing w:after="0" w:line="360" w:lineRule="auto"/>
        <w:jc w:val="both"/>
        <w:rPr>
          <w:rFonts w:ascii="Times New Roman" w:hAnsi="Times New Roman" w:cs="Times New Roman"/>
          <w:sz w:val="24"/>
          <w:szCs w:val="24"/>
        </w:rPr>
      </w:pPr>
      <w:r w:rsidRPr="004C75E0">
        <w:rPr>
          <w:rFonts w:ascii="Times New Roman" w:hAnsi="Times New Roman" w:cs="Times New Roman"/>
          <w:sz w:val="24"/>
          <w:szCs w:val="24"/>
        </w:rPr>
        <w:t xml:space="preserve">To further improve the Grade 7 completion rate, government needs to secure greater balance between interventions that focus on improving educational access and gender parity in enrolment, on the one hand, and those that address retention and completion rates, on the other. </w:t>
      </w:r>
    </w:p>
    <w:p w14:paraId="5C9F08B6" w14:textId="77777777" w:rsidR="00C70F00" w:rsidRPr="00C02BE1" w:rsidRDefault="00C70F00" w:rsidP="006E5623">
      <w:pPr>
        <w:autoSpaceDE w:val="0"/>
        <w:autoSpaceDN w:val="0"/>
        <w:adjustRightInd w:val="0"/>
        <w:spacing w:after="0" w:line="360" w:lineRule="auto"/>
        <w:jc w:val="both"/>
        <w:rPr>
          <w:rFonts w:ascii="Times New Roman" w:hAnsi="Times New Roman" w:cs="Times New Roman"/>
          <w:b/>
          <w:sz w:val="24"/>
          <w:szCs w:val="24"/>
          <w:lang w:val="en-US"/>
        </w:rPr>
      </w:pPr>
    </w:p>
    <w:p w14:paraId="5C1E0A0E" w14:textId="77777777" w:rsidR="006E5623" w:rsidRPr="004C75E0" w:rsidRDefault="006E5623" w:rsidP="006E5623">
      <w:pPr>
        <w:numPr>
          <w:ilvl w:val="0"/>
          <w:numId w:val="9"/>
        </w:numPr>
        <w:autoSpaceDE w:val="0"/>
        <w:autoSpaceDN w:val="0"/>
        <w:adjustRightInd w:val="0"/>
        <w:spacing w:after="0" w:line="360" w:lineRule="auto"/>
        <w:contextualSpacing/>
        <w:jc w:val="both"/>
        <w:rPr>
          <w:rFonts w:ascii="Times New Roman" w:hAnsi="Times New Roman" w:cs="Times New Roman"/>
          <w:b/>
          <w:sz w:val="24"/>
          <w:szCs w:val="24"/>
        </w:rPr>
      </w:pPr>
      <w:r w:rsidRPr="004C75E0">
        <w:rPr>
          <w:rFonts w:ascii="Times New Roman" w:hAnsi="Times New Roman" w:cs="Times New Roman"/>
          <w:b/>
          <w:sz w:val="24"/>
          <w:szCs w:val="24"/>
        </w:rPr>
        <w:t>More investments in secondary and post-secondary school infrastructure</w:t>
      </w:r>
    </w:p>
    <w:p w14:paraId="0774900F" w14:textId="77777777" w:rsidR="006E5623" w:rsidRPr="004C75E0" w:rsidRDefault="006E5623" w:rsidP="00C02BE1">
      <w:pPr>
        <w:autoSpaceDE w:val="0"/>
        <w:autoSpaceDN w:val="0"/>
        <w:adjustRightInd w:val="0"/>
        <w:spacing w:after="0" w:line="360" w:lineRule="auto"/>
        <w:jc w:val="both"/>
        <w:rPr>
          <w:rFonts w:ascii="Times New Roman" w:hAnsi="Times New Roman" w:cs="Times New Roman"/>
          <w:b/>
          <w:sz w:val="24"/>
          <w:szCs w:val="24"/>
          <w:lang w:val="en-US"/>
        </w:rPr>
      </w:pPr>
      <w:r w:rsidRPr="004C75E0">
        <w:rPr>
          <w:rFonts w:ascii="Times New Roman" w:hAnsi="Times New Roman" w:cs="Times New Roman"/>
          <w:sz w:val="24"/>
          <w:szCs w:val="24"/>
        </w:rPr>
        <w:t xml:space="preserve">Although the completion rate for Grade 12 has been improving rapidly since 2009, primarily due to major improvements in school infrastructure, it is still very low. Enhancing this will require massive investments in the construction of secondary and post-secondary educational facilities, and higher recurrent budgets for the provision of books, lab and computer equipment. </w:t>
      </w:r>
    </w:p>
    <w:p w14:paraId="1DC7422E" w14:textId="77777777" w:rsidR="006E5623" w:rsidRPr="004C75E0" w:rsidRDefault="006E5623" w:rsidP="006E5623">
      <w:pPr>
        <w:numPr>
          <w:ilvl w:val="0"/>
          <w:numId w:val="9"/>
        </w:numPr>
        <w:autoSpaceDE w:val="0"/>
        <w:autoSpaceDN w:val="0"/>
        <w:adjustRightInd w:val="0"/>
        <w:spacing w:after="0" w:line="360" w:lineRule="auto"/>
        <w:contextualSpacing/>
        <w:jc w:val="both"/>
        <w:rPr>
          <w:rFonts w:ascii="Times New Roman" w:hAnsi="Times New Roman" w:cs="Times New Roman"/>
          <w:b/>
          <w:sz w:val="24"/>
          <w:szCs w:val="24"/>
        </w:rPr>
      </w:pPr>
      <w:r w:rsidRPr="004C75E0">
        <w:rPr>
          <w:rFonts w:ascii="Times New Roman" w:hAnsi="Times New Roman" w:cs="Times New Roman"/>
          <w:b/>
          <w:sz w:val="24"/>
          <w:szCs w:val="24"/>
        </w:rPr>
        <w:t>Quality of Education</w:t>
      </w:r>
    </w:p>
    <w:p w14:paraId="14C3EF0D" w14:textId="401C9026" w:rsidR="006E5623" w:rsidRPr="009F64A8" w:rsidRDefault="006E5623" w:rsidP="009F64A8">
      <w:pPr>
        <w:autoSpaceDE w:val="0"/>
        <w:autoSpaceDN w:val="0"/>
        <w:adjustRightInd w:val="0"/>
        <w:spacing w:after="0" w:line="360" w:lineRule="auto"/>
        <w:jc w:val="both"/>
        <w:rPr>
          <w:rFonts w:ascii="Times New Roman" w:hAnsi="Times New Roman" w:cs="Times New Roman"/>
          <w:b/>
          <w:sz w:val="24"/>
          <w:szCs w:val="24"/>
          <w:lang w:val="en-US"/>
        </w:rPr>
      </w:pPr>
      <w:r w:rsidRPr="004C75E0">
        <w:rPr>
          <w:rFonts w:ascii="Times New Roman" w:hAnsi="Times New Roman" w:cs="Times New Roman"/>
          <w:sz w:val="24"/>
          <w:szCs w:val="24"/>
        </w:rPr>
        <w:t>Quantitative improvements in education outcomes, while necessary, are not sufficient. Improved enrolment and progression rates should be accompanied by quality teaching staff and upgraded school facilities to improve the overall quality of education (including improving the dwindling pass rates).</w:t>
      </w:r>
    </w:p>
    <w:p w14:paraId="3BB69034" w14:textId="77777777" w:rsidR="006E5623" w:rsidRPr="004C75E0" w:rsidRDefault="006E5623" w:rsidP="006E5623">
      <w:pPr>
        <w:numPr>
          <w:ilvl w:val="0"/>
          <w:numId w:val="9"/>
        </w:numPr>
        <w:autoSpaceDE w:val="0"/>
        <w:autoSpaceDN w:val="0"/>
        <w:adjustRightInd w:val="0"/>
        <w:spacing w:after="0" w:line="360" w:lineRule="auto"/>
        <w:contextualSpacing/>
        <w:jc w:val="both"/>
        <w:rPr>
          <w:rFonts w:ascii="Times New Roman" w:hAnsi="Times New Roman" w:cs="Times New Roman"/>
          <w:b/>
          <w:sz w:val="24"/>
          <w:szCs w:val="24"/>
        </w:rPr>
      </w:pPr>
      <w:r w:rsidRPr="004C75E0">
        <w:rPr>
          <w:rFonts w:ascii="Times New Roman" w:hAnsi="Times New Roman" w:cs="Times New Roman"/>
          <w:b/>
          <w:sz w:val="24"/>
          <w:szCs w:val="24"/>
        </w:rPr>
        <w:t>Youth Illiteracy</w:t>
      </w:r>
    </w:p>
    <w:p w14:paraId="65C6F1DD" w14:textId="77777777" w:rsidR="006E5623" w:rsidRPr="004C75E0" w:rsidRDefault="006E5623" w:rsidP="006E5623">
      <w:pPr>
        <w:autoSpaceDE w:val="0"/>
        <w:autoSpaceDN w:val="0"/>
        <w:adjustRightInd w:val="0"/>
        <w:spacing w:after="0" w:line="360" w:lineRule="auto"/>
        <w:jc w:val="both"/>
        <w:rPr>
          <w:rFonts w:ascii="Times New Roman" w:hAnsi="Times New Roman" w:cs="Times New Roman"/>
          <w:b/>
          <w:sz w:val="24"/>
          <w:szCs w:val="24"/>
          <w:lang w:val="en-US"/>
        </w:rPr>
      </w:pPr>
      <w:r w:rsidRPr="004C75E0">
        <w:rPr>
          <w:rFonts w:ascii="Times New Roman" w:hAnsi="Times New Roman" w:cs="Times New Roman"/>
          <w:sz w:val="24"/>
          <w:szCs w:val="24"/>
        </w:rPr>
        <w:t>To address illiteracy and skills development, government must work with its stakeholders and partners, including civil society organizations, private sector, academia and parent-teacher associations in pursuing policies and programmes that improve youth literacy rates, especially for females. Civil society has experience in designing flexible programmes for specific community groups, lobbying for the interests of vulnerable populations and monitoring performance. The private sector has a particular interest in an educated workforce and must be encouraged to offer more apprenticeship programmes, as well as workplace literacy and skills development</w:t>
      </w:r>
    </w:p>
    <w:p w14:paraId="1C398893" w14:textId="77777777" w:rsidR="006E5623" w:rsidRPr="004C75E0" w:rsidRDefault="006E5623" w:rsidP="006E5623">
      <w:pPr>
        <w:numPr>
          <w:ilvl w:val="0"/>
          <w:numId w:val="9"/>
        </w:numPr>
        <w:autoSpaceDE w:val="0"/>
        <w:autoSpaceDN w:val="0"/>
        <w:adjustRightInd w:val="0"/>
        <w:spacing w:after="0" w:line="360" w:lineRule="auto"/>
        <w:contextualSpacing/>
        <w:jc w:val="both"/>
        <w:rPr>
          <w:rFonts w:ascii="Times New Roman" w:hAnsi="Times New Roman" w:cs="Times New Roman"/>
          <w:b/>
          <w:sz w:val="24"/>
          <w:szCs w:val="24"/>
          <w:lang w:val="en-US"/>
        </w:rPr>
      </w:pPr>
      <w:r w:rsidRPr="004C75E0">
        <w:rPr>
          <w:rFonts w:ascii="Times New Roman" w:hAnsi="Times New Roman" w:cs="Times New Roman"/>
          <w:b/>
          <w:sz w:val="24"/>
          <w:szCs w:val="24"/>
          <w:lang w:val="en-US"/>
        </w:rPr>
        <w:t>Higher Education</w:t>
      </w:r>
    </w:p>
    <w:p w14:paraId="66392859" w14:textId="10A7E704" w:rsidR="006E5623" w:rsidRPr="004C75E0" w:rsidRDefault="006E5623" w:rsidP="006E5623">
      <w:pPr>
        <w:autoSpaceDE w:val="0"/>
        <w:autoSpaceDN w:val="0"/>
        <w:adjustRightInd w:val="0"/>
        <w:spacing w:after="0" w:line="360" w:lineRule="auto"/>
        <w:jc w:val="both"/>
        <w:rPr>
          <w:rFonts w:ascii="Times New Roman" w:hAnsi="Times New Roman" w:cs="Times New Roman"/>
          <w:b/>
          <w:sz w:val="24"/>
          <w:szCs w:val="24"/>
          <w:lang w:val="en-US"/>
        </w:rPr>
      </w:pPr>
      <w:r w:rsidRPr="004C75E0">
        <w:rPr>
          <w:rFonts w:ascii="Times New Roman" w:hAnsi="Times New Roman" w:cs="Times New Roman"/>
          <w:sz w:val="24"/>
          <w:szCs w:val="24"/>
        </w:rPr>
        <w:t>To address the skills mismatch, Government must focus</w:t>
      </w:r>
      <w:r w:rsidR="00336CAD">
        <w:rPr>
          <w:rFonts w:ascii="Times New Roman" w:hAnsi="Times New Roman" w:cs="Times New Roman"/>
          <w:sz w:val="24"/>
          <w:szCs w:val="24"/>
        </w:rPr>
        <w:t xml:space="preserve"> increased attention on higher education</w:t>
      </w:r>
      <w:r w:rsidRPr="004C75E0">
        <w:rPr>
          <w:rFonts w:ascii="Times New Roman" w:hAnsi="Times New Roman" w:cs="Times New Roman"/>
          <w:sz w:val="24"/>
          <w:szCs w:val="24"/>
        </w:rPr>
        <w:t xml:space="preserve">. </w:t>
      </w:r>
    </w:p>
    <w:p w14:paraId="39CDB9F8" w14:textId="77777777" w:rsidR="006E5623" w:rsidRPr="004C75E0" w:rsidRDefault="006E5623" w:rsidP="006E5623">
      <w:pPr>
        <w:numPr>
          <w:ilvl w:val="0"/>
          <w:numId w:val="9"/>
        </w:numPr>
        <w:autoSpaceDE w:val="0"/>
        <w:autoSpaceDN w:val="0"/>
        <w:adjustRightInd w:val="0"/>
        <w:spacing w:after="0" w:line="360" w:lineRule="auto"/>
        <w:contextualSpacing/>
        <w:jc w:val="both"/>
        <w:rPr>
          <w:rFonts w:ascii="Times New Roman" w:hAnsi="Times New Roman" w:cs="Times New Roman"/>
          <w:b/>
          <w:sz w:val="24"/>
          <w:szCs w:val="24"/>
        </w:rPr>
      </w:pPr>
      <w:r w:rsidRPr="004C75E0">
        <w:rPr>
          <w:rFonts w:ascii="Times New Roman" w:hAnsi="Times New Roman" w:cs="Times New Roman"/>
          <w:b/>
          <w:sz w:val="24"/>
          <w:szCs w:val="24"/>
        </w:rPr>
        <w:t xml:space="preserve">Quality and use of monitoring information </w:t>
      </w:r>
    </w:p>
    <w:p w14:paraId="24643E8E" w14:textId="4F33A635" w:rsidR="006E5623" w:rsidRPr="004C75E0" w:rsidRDefault="006E5623" w:rsidP="000A7904">
      <w:pPr>
        <w:autoSpaceDE w:val="0"/>
        <w:autoSpaceDN w:val="0"/>
        <w:adjustRightInd w:val="0"/>
        <w:spacing w:after="0" w:line="360" w:lineRule="auto"/>
        <w:jc w:val="both"/>
        <w:rPr>
          <w:rFonts w:ascii="Times New Roman" w:hAnsi="Times New Roman" w:cs="Times New Roman"/>
          <w:sz w:val="24"/>
          <w:szCs w:val="24"/>
          <w:lang w:val="en-US"/>
        </w:rPr>
      </w:pPr>
      <w:r w:rsidRPr="004C75E0">
        <w:rPr>
          <w:rFonts w:ascii="Times New Roman" w:hAnsi="Times New Roman" w:cs="Times New Roman"/>
          <w:sz w:val="24"/>
          <w:szCs w:val="24"/>
          <w:lang w:val="en-US"/>
        </w:rPr>
        <w:t>The monitoring and evaluation functions need to be further expanded in order to become instruments for the improvement of the quality of education. The MoE can be proud of its Education Management Information System (EMIS), but this system can be used more effectively. EMIS provides basic (input) information, but this information is not linked to output and outcome information. In this regard, monitoring and evaluation functions need to be expanded in order to become instruments for the improvement of the quality of education. Information provided by the annual school census needs to be linked with information from ECZ. At the district level, the results of inspections may be compu</w:t>
      </w:r>
      <w:r w:rsidR="009F64A8">
        <w:rPr>
          <w:rFonts w:ascii="Times New Roman" w:hAnsi="Times New Roman" w:cs="Times New Roman"/>
          <w:sz w:val="24"/>
          <w:szCs w:val="24"/>
          <w:lang w:val="en-US"/>
        </w:rPr>
        <w:t>terised and linked to EMIS data</w:t>
      </w:r>
      <w:r w:rsidR="000A7904">
        <w:rPr>
          <w:rFonts w:ascii="Times New Roman" w:hAnsi="Times New Roman" w:cs="Times New Roman"/>
          <w:sz w:val="24"/>
          <w:szCs w:val="24"/>
          <w:lang w:val="en-US"/>
        </w:rPr>
        <w:t>.</w:t>
      </w:r>
    </w:p>
    <w:p w14:paraId="34C090CC" w14:textId="77777777" w:rsidR="006E5623" w:rsidRPr="004C75E0" w:rsidRDefault="006E5623" w:rsidP="006E5623">
      <w:pPr>
        <w:numPr>
          <w:ilvl w:val="0"/>
          <w:numId w:val="9"/>
        </w:numPr>
        <w:autoSpaceDE w:val="0"/>
        <w:autoSpaceDN w:val="0"/>
        <w:adjustRightInd w:val="0"/>
        <w:spacing w:after="0" w:line="360" w:lineRule="auto"/>
        <w:contextualSpacing/>
        <w:rPr>
          <w:rFonts w:ascii="Times New Roman" w:eastAsia="MyriadPro-Regular" w:hAnsi="Times New Roman" w:cs="Times New Roman"/>
          <w:b/>
          <w:sz w:val="24"/>
          <w:szCs w:val="24"/>
        </w:rPr>
      </w:pPr>
      <w:r w:rsidRPr="004C75E0">
        <w:rPr>
          <w:rFonts w:ascii="Times New Roman" w:eastAsia="MyriadPro-Regular" w:hAnsi="Times New Roman" w:cs="Times New Roman"/>
          <w:b/>
          <w:sz w:val="24"/>
          <w:szCs w:val="24"/>
        </w:rPr>
        <w:t>Working in partnership with CSOs</w:t>
      </w:r>
    </w:p>
    <w:p w14:paraId="5A7FB953" w14:textId="77777777" w:rsidR="006E5623" w:rsidRPr="004C75E0" w:rsidRDefault="006E5623" w:rsidP="006E5623">
      <w:pPr>
        <w:autoSpaceDE w:val="0"/>
        <w:autoSpaceDN w:val="0"/>
        <w:adjustRightInd w:val="0"/>
        <w:spacing w:after="0" w:line="360" w:lineRule="auto"/>
        <w:jc w:val="both"/>
        <w:rPr>
          <w:rFonts w:ascii="Times New Roman" w:eastAsia="MyriadPro-Regular" w:hAnsi="Times New Roman" w:cs="Times New Roman"/>
          <w:sz w:val="24"/>
          <w:szCs w:val="24"/>
          <w:lang w:val="en-US"/>
        </w:rPr>
      </w:pPr>
      <w:r w:rsidRPr="004C75E0">
        <w:rPr>
          <w:rFonts w:ascii="Times New Roman" w:eastAsia="MyriadPro-Regular" w:hAnsi="Times New Roman" w:cs="Times New Roman"/>
          <w:sz w:val="24"/>
          <w:szCs w:val="24"/>
          <w:lang w:val="en-US"/>
        </w:rPr>
        <w:t>To address illiteracy, government must work with its stakeholders and partners, including civil society organizations, private sector, academia and parent-teacher associations in pursuing policies and programmes that improve youth literacy rates, especially for females. Civil society has experience in designing flexible programmes for specific community groups, lobbying for the interests of vulnerable populations and monitoring performance. The private sector has a particular interest in an educated workforce and must be encouraged to offer more apprenticeship programmes, as well as workplace literacy and skills development.</w:t>
      </w:r>
    </w:p>
    <w:p w14:paraId="68B198A8" w14:textId="77777777" w:rsidR="008331E0" w:rsidRPr="008331E0" w:rsidRDefault="008331E0" w:rsidP="00BC7351">
      <w:pPr>
        <w:autoSpaceDE w:val="0"/>
        <w:autoSpaceDN w:val="0"/>
        <w:adjustRightInd w:val="0"/>
        <w:spacing w:after="0" w:line="360" w:lineRule="auto"/>
        <w:jc w:val="both"/>
        <w:rPr>
          <w:rFonts w:ascii="Times New Roman" w:hAnsi="Times New Roman" w:cs="Times New Roman"/>
          <w:b/>
          <w:sz w:val="24"/>
          <w:szCs w:val="24"/>
        </w:rPr>
      </w:pPr>
    </w:p>
    <w:p w14:paraId="568D770B" w14:textId="0411D13B" w:rsidR="008331E0" w:rsidRPr="008331E0" w:rsidRDefault="008331E0" w:rsidP="008331E0">
      <w:pPr>
        <w:pStyle w:val="ListParagraph"/>
        <w:numPr>
          <w:ilvl w:val="0"/>
          <w:numId w:val="29"/>
        </w:numPr>
        <w:autoSpaceDE w:val="0"/>
        <w:autoSpaceDN w:val="0"/>
        <w:adjustRightInd w:val="0"/>
        <w:spacing w:after="0" w:line="360" w:lineRule="auto"/>
        <w:jc w:val="both"/>
        <w:rPr>
          <w:rFonts w:ascii="Times New Roman" w:hAnsi="Times New Roman" w:cs="Times New Roman"/>
          <w:b/>
          <w:sz w:val="24"/>
          <w:szCs w:val="24"/>
        </w:rPr>
      </w:pPr>
      <w:r w:rsidRPr="008331E0">
        <w:rPr>
          <w:rFonts w:ascii="Times New Roman" w:hAnsi="Times New Roman" w:cs="Times New Roman"/>
          <w:b/>
          <w:sz w:val="24"/>
          <w:szCs w:val="24"/>
        </w:rPr>
        <w:t>Domestic financing</w:t>
      </w:r>
    </w:p>
    <w:p w14:paraId="6B42814B" w14:textId="77777777" w:rsidR="00C15D28" w:rsidRDefault="00C15D28" w:rsidP="00C15D28">
      <w:pPr>
        <w:spacing w:line="360" w:lineRule="auto"/>
        <w:contextualSpacing/>
        <w:jc w:val="both"/>
        <w:rPr>
          <w:rFonts w:ascii="Times New Roman" w:hAnsi="Times New Roman" w:cs="Times New Roman"/>
        </w:rPr>
      </w:pPr>
      <w:r>
        <w:rPr>
          <w:rFonts w:ascii="Times New Roman" w:hAnsi="Times New Roman" w:cs="Times New Roman"/>
        </w:rPr>
        <w:t>The following measures would help improve revenue levels and make more resources available for quality inclusive education development:</w:t>
      </w:r>
    </w:p>
    <w:p w14:paraId="7167162D" w14:textId="77777777" w:rsidR="00C15D28" w:rsidRDefault="00C15D28" w:rsidP="00C15D28">
      <w:pPr>
        <w:autoSpaceDE w:val="0"/>
        <w:autoSpaceDN w:val="0"/>
        <w:adjustRightInd w:val="0"/>
        <w:spacing w:after="0" w:line="240" w:lineRule="auto"/>
        <w:jc w:val="both"/>
        <w:rPr>
          <w:rFonts w:ascii="Times New Roman" w:hAnsi="Times New Roman" w:cs="Times New Roman"/>
        </w:rPr>
      </w:pPr>
    </w:p>
    <w:p w14:paraId="1ACAA6F9" w14:textId="77777777" w:rsidR="00C15D28" w:rsidRDefault="00C15D28" w:rsidP="00C15D28">
      <w:pPr>
        <w:pStyle w:val="ListParagraph"/>
        <w:numPr>
          <w:ilvl w:val="0"/>
          <w:numId w:val="8"/>
        </w:numPr>
        <w:autoSpaceDE w:val="0"/>
        <w:autoSpaceDN w:val="0"/>
        <w:adjustRightInd w:val="0"/>
        <w:spacing w:after="0" w:line="360" w:lineRule="auto"/>
        <w:ind w:left="714" w:hanging="357"/>
        <w:jc w:val="both"/>
        <w:rPr>
          <w:rFonts w:ascii="Times New Roman" w:hAnsi="Times New Roman" w:cs="Times New Roman"/>
        </w:rPr>
      </w:pPr>
      <w:r w:rsidRPr="00072DDF">
        <w:rPr>
          <w:rFonts w:ascii="Times New Roman" w:hAnsi="Times New Roman" w:cs="Times New Roman"/>
          <w:b/>
        </w:rPr>
        <w:t>Tapping into diaspora remittances</w:t>
      </w:r>
      <w:r w:rsidRPr="00072DDF">
        <w:rPr>
          <w:rFonts w:ascii="Times New Roman" w:hAnsi="Times New Roman" w:cs="Times New Roman"/>
        </w:rPr>
        <w:t>, this is an area that holds potential but is currently untapped in the Zam</w:t>
      </w:r>
      <w:r>
        <w:rPr>
          <w:rFonts w:ascii="Times New Roman" w:hAnsi="Times New Roman" w:cs="Times New Roman"/>
        </w:rPr>
        <w:t>bian case</w:t>
      </w:r>
      <w:r w:rsidRPr="00072DDF">
        <w:rPr>
          <w:rFonts w:ascii="Times New Roman" w:hAnsi="Times New Roman" w:cs="Times New Roman"/>
        </w:rPr>
        <w:t>. Policy makers a</w:t>
      </w:r>
      <w:r>
        <w:rPr>
          <w:rFonts w:ascii="Times New Roman" w:hAnsi="Times New Roman" w:cs="Times New Roman"/>
        </w:rPr>
        <w:t>nd the development community could explore</w:t>
      </w:r>
      <w:r w:rsidRPr="00072DDF">
        <w:rPr>
          <w:rFonts w:ascii="Times New Roman" w:hAnsi="Times New Roman" w:cs="Times New Roman"/>
        </w:rPr>
        <w:t xml:space="preserve"> ways to exploit this potential to leverage savings and investment in productive assets. However, more effort is needed to maximise their development impact, including by reducing their transmission costs and channelling remittances through national commercial banks to </w:t>
      </w:r>
      <w:r>
        <w:rPr>
          <w:rFonts w:ascii="Times New Roman" w:hAnsi="Times New Roman" w:cs="Times New Roman"/>
        </w:rPr>
        <w:t>access additional finance</w:t>
      </w:r>
      <w:r w:rsidRPr="00072DDF">
        <w:rPr>
          <w:rFonts w:ascii="Times New Roman" w:hAnsi="Times New Roman" w:cs="Times New Roman"/>
        </w:rPr>
        <w:t>.</w:t>
      </w:r>
    </w:p>
    <w:p w14:paraId="6B746437" w14:textId="77777777" w:rsidR="00C15D28" w:rsidRPr="00072DDF" w:rsidRDefault="00C15D28" w:rsidP="00C15D28">
      <w:pPr>
        <w:pStyle w:val="ListParagraph"/>
        <w:autoSpaceDE w:val="0"/>
        <w:autoSpaceDN w:val="0"/>
        <w:adjustRightInd w:val="0"/>
        <w:spacing w:after="0" w:line="360" w:lineRule="auto"/>
        <w:ind w:left="714"/>
        <w:jc w:val="both"/>
        <w:rPr>
          <w:rFonts w:ascii="Times New Roman" w:hAnsi="Times New Roman" w:cs="Times New Roman"/>
        </w:rPr>
      </w:pPr>
    </w:p>
    <w:p w14:paraId="6B356FF0" w14:textId="77777777" w:rsidR="00C15D28" w:rsidRDefault="00C15D28" w:rsidP="00C15D28">
      <w:pPr>
        <w:pStyle w:val="ListParagraph"/>
        <w:numPr>
          <w:ilvl w:val="0"/>
          <w:numId w:val="8"/>
        </w:numPr>
        <w:spacing w:line="360" w:lineRule="auto"/>
        <w:jc w:val="both"/>
        <w:rPr>
          <w:rFonts w:ascii="Times New Roman" w:hAnsi="Times New Roman" w:cs="Times New Roman"/>
        </w:rPr>
      </w:pPr>
      <w:r w:rsidRPr="00072DDF">
        <w:rPr>
          <w:rFonts w:ascii="Times New Roman" w:hAnsi="Times New Roman" w:cs="Times New Roman"/>
          <w:b/>
        </w:rPr>
        <w:t>Curbing illicit financial flows from Zambia</w:t>
      </w:r>
      <w:r w:rsidRPr="000F04B2">
        <w:rPr>
          <w:rFonts w:ascii="Times New Roman" w:hAnsi="Times New Roman" w:cs="Times New Roman"/>
        </w:rPr>
        <w:t>, which are estimated to</w:t>
      </w:r>
      <w:r>
        <w:rPr>
          <w:rFonts w:ascii="Times New Roman" w:hAnsi="Times New Roman" w:cs="Times New Roman"/>
        </w:rPr>
        <w:t xml:space="preserve"> have</w:t>
      </w:r>
      <w:r w:rsidRPr="000F04B2">
        <w:rPr>
          <w:rFonts w:ascii="Times New Roman" w:hAnsi="Times New Roman" w:cs="Times New Roman"/>
        </w:rPr>
        <w:t xml:space="preserve"> exce</w:t>
      </w:r>
      <w:r>
        <w:rPr>
          <w:rFonts w:ascii="Times New Roman" w:hAnsi="Times New Roman" w:cs="Times New Roman"/>
        </w:rPr>
        <w:t xml:space="preserve">eded FDI and </w:t>
      </w:r>
      <w:r w:rsidRPr="000F04B2">
        <w:rPr>
          <w:rFonts w:ascii="Times New Roman" w:hAnsi="Times New Roman" w:cs="Times New Roman"/>
        </w:rPr>
        <w:t>ODA</w:t>
      </w:r>
      <w:r>
        <w:rPr>
          <w:rFonts w:ascii="Times New Roman" w:hAnsi="Times New Roman" w:cs="Times New Roman"/>
        </w:rPr>
        <w:t xml:space="preserve"> at the continental level</w:t>
      </w:r>
      <w:r w:rsidRPr="000F04B2">
        <w:rPr>
          <w:rFonts w:ascii="Times New Roman" w:hAnsi="Times New Roman" w:cs="Times New Roman"/>
        </w:rPr>
        <w:t xml:space="preserve"> over the last decade, are a potential source of dom</w:t>
      </w:r>
      <w:r>
        <w:rPr>
          <w:rFonts w:ascii="Times New Roman" w:hAnsi="Times New Roman" w:cs="Times New Roman"/>
        </w:rPr>
        <w:t>estic resource mobilisation for the national economy</w:t>
      </w:r>
      <w:r w:rsidRPr="000F04B2">
        <w:rPr>
          <w:rFonts w:ascii="Times New Roman" w:hAnsi="Times New Roman" w:cs="Times New Roman"/>
        </w:rPr>
        <w:t>. If curbed, they could free up resources to invest in public goods</w:t>
      </w:r>
      <w:r>
        <w:rPr>
          <w:rFonts w:ascii="Times New Roman" w:hAnsi="Times New Roman" w:cs="Times New Roman"/>
        </w:rPr>
        <w:t xml:space="preserve"> such as education.</w:t>
      </w:r>
    </w:p>
    <w:p w14:paraId="7C1441FF" w14:textId="77777777" w:rsidR="00C15D28" w:rsidRPr="00072DDF" w:rsidRDefault="00C15D28" w:rsidP="00C15D28">
      <w:pPr>
        <w:pStyle w:val="ListParagraph"/>
        <w:rPr>
          <w:rFonts w:ascii="Times New Roman" w:hAnsi="Times New Roman" w:cs="Times New Roman"/>
        </w:rPr>
      </w:pPr>
    </w:p>
    <w:p w14:paraId="3034BE90" w14:textId="77777777" w:rsidR="00C15D28" w:rsidRPr="00072DDF" w:rsidRDefault="00C15D28" w:rsidP="00C15D28">
      <w:pPr>
        <w:pStyle w:val="ListParagraph"/>
        <w:numPr>
          <w:ilvl w:val="0"/>
          <w:numId w:val="8"/>
        </w:numPr>
        <w:spacing w:line="360" w:lineRule="auto"/>
        <w:jc w:val="both"/>
        <w:rPr>
          <w:rFonts w:ascii="Times New Roman" w:hAnsi="Times New Roman" w:cs="Times New Roman"/>
        </w:rPr>
      </w:pPr>
      <w:r w:rsidRPr="00072DDF">
        <w:rPr>
          <w:rFonts w:ascii="Times New Roman" w:hAnsi="Times New Roman" w:cs="Times New Roman"/>
          <w:b/>
        </w:rPr>
        <w:t>Combating tax avoidance through improved monitoring capacity</w:t>
      </w:r>
      <w:r w:rsidRPr="00072DDF">
        <w:rPr>
          <w:rFonts w:ascii="Times New Roman" w:hAnsi="Times New Roman" w:cs="Times New Roman"/>
        </w:rPr>
        <w:t>. The combination of a huge informal sector, low levels of tax collection, high rates of tax evasion (low tax payer morale) and a weak tax administration all add to the challenge of fiscal reform for i</w:t>
      </w:r>
      <w:r>
        <w:rPr>
          <w:rFonts w:ascii="Times New Roman" w:hAnsi="Times New Roman" w:cs="Times New Roman"/>
        </w:rPr>
        <w:t xml:space="preserve">nclusive development. </w:t>
      </w:r>
      <w:r w:rsidRPr="00072DDF">
        <w:rPr>
          <w:rFonts w:ascii="Times New Roman" w:hAnsi="Times New Roman" w:cs="Times New Roman"/>
        </w:rPr>
        <w:t>Zambia though a resource-rich countries lack the capacity to negotiate contracts, which would promote greater transparency and improve public revenue from the extractive sector. Abusive transfer pricing – the artificial movement of taxable profits from high-tax to low-tax jurisdictions – occurs on a substantial scale in Africa</w:t>
      </w:r>
      <w:r>
        <w:rPr>
          <w:rFonts w:ascii="Times New Roman" w:hAnsi="Times New Roman" w:cs="Times New Roman"/>
        </w:rPr>
        <w:t xml:space="preserve"> and there is every reason to believe it occurs in Zambia</w:t>
      </w:r>
      <w:r w:rsidRPr="00072DDF">
        <w:rPr>
          <w:rFonts w:ascii="Times New Roman" w:hAnsi="Times New Roman" w:cs="Times New Roman"/>
        </w:rPr>
        <w:t>. The country</w:t>
      </w:r>
      <w:r>
        <w:rPr>
          <w:rFonts w:ascii="Times New Roman" w:hAnsi="Times New Roman" w:cs="Times New Roman"/>
        </w:rPr>
        <w:t xml:space="preserve"> should strengthen its monitoring capacity to combat tax avoidance in all its forms, particularly</w:t>
      </w:r>
      <w:r w:rsidRPr="00072DDF">
        <w:rPr>
          <w:rFonts w:ascii="Times New Roman" w:hAnsi="Times New Roman" w:cs="Times New Roman"/>
        </w:rPr>
        <w:t xml:space="preserve"> to curb strategies defined as “base erosion and profit shifting” (BEPS), which exploit gaps and mismatches in tax rules to shift profits for tax purposes.</w:t>
      </w:r>
    </w:p>
    <w:p w14:paraId="727F5594" w14:textId="77777777" w:rsidR="00C15D28" w:rsidRDefault="00C15D28" w:rsidP="00C15D28">
      <w:pPr>
        <w:pStyle w:val="ListParagraph"/>
        <w:numPr>
          <w:ilvl w:val="0"/>
          <w:numId w:val="8"/>
        </w:numPr>
        <w:spacing w:line="360" w:lineRule="auto"/>
        <w:jc w:val="both"/>
        <w:rPr>
          <w:rFonts w:ascii="Times New Roman" w:hAnsi="Times New Roman" w:cs="Times New Roman"/>
        </w:rPr>
      </w:pPr>
      <w:r w:rsidRPr="00072DDF">
        <w:rPr>
          <w:rFonts w:ascii="Times New Roman" w:hAnsi="Times New Roman" w:cs="Times New Roman"/>
          <w:b/>
        </w:rPr>
        <w:t>Increasing the contribution of resource rent</w:t>
      </w:r>
      <w:r>
        <w:rPr>
          <w:rFonts w:ascii="Times New Roman" w:hAnsi="Times New Roman" w:cs="Times New Roman"/>
        </w:rPr>
        <w:t xml:space="preserve">, e.g., raising mineral royalty tax to realist levels. </w:t>
      </w:r>
    </w:p>
    <w:p w14:paraId="0F6BBD18" w14:textId="1A32A7CB" w:rsidR="008331E0" w:rsidRDefault="00C15D28" w:rsidP="00C15D28">
      <w:pPr>
        <w:pStyle w:val="ListParagraph"/>
        <w:numPr>
          <w:ilvl w:val="0"/>
          <w:numId w:val="8"/>
        </w:numPr>
        <w:spacing w:line="360" w:lineRule="auto"/>
        <w:jc w:val="both"/>
        <w:rPr>
          <w:rFonts w:ascii="Times New Roman" w:hAnsi="Times New Roman" w:cs="Times New Roman"/>
        </w:rPr>
      </w:pPr>
      <w:r w:rsidRPr="00072DDF">
        <w:rPr>
          <w:rFonts w:ascii="Times New Roman" w:hAnsi="Times New Roman" w:cs="Times New Roman"/>
          <w:b/>
        </w:rPr>
        <w:t>Implementing property tax to expand tax base</w:t>
      </w:r>
      <w:r>
        <w:rPr>
          <w:rFonts w:ascii="Times New Roman" w:hAnsi="Times New Roman" w:cs="Times New Roman"/>
        </w:rPr>
        <w:t>, particularly to capture informal sector incomes.</w:t>
      </w:r>
    </w:p>
    <w:p w14:paraId="79DD0299" w14:textId="77777777" w:rsidR="007147B8" w:rsidRDefault="007147B8" w:rsidP="007147B8">
      <w:pPr>
        <w:spacing w:line="360" w:lineRule="auto"/>
        <w:jc w:val="both"/>
        <w:rPr>
          <w:rFonts w:ascii="Times New Roman" w:hAnsi="Times New Roman" w:cs="Times New Roman"/>
        </w:rPr>
      </w:pPr>
    </w:p>
    <w:p w14:paraId="3B3C5B38" w14:textId="77777777" w:rsidR="007147B8" w:rsidRDefault="007147B8" w:rsidP="007147B8">
      <w:pPr>
        <w:spacing w:line="360" w:lineRule="auto"/>
        <w:jc w:val="both"/>
        <w:rPr>
          <w:rFonts w:ascii="Times New Roman" w:hAnsi="Times New Roman" w:cs="Times New Roman"/>
        </w:rPr>
      </w:pPr>
    </w:p>
    <w:p w14:paraId="41238E1C" w14:textId="77777777" w:rsidR="007147B8" w:rsidRDefault="007147B8" w:rsidP="007147B8">
      <w:pPr>
        <w:spacing w:line="360" w:lineRule="auto"/>
        <w:jc w:val="both"/>
        <w:rPr>
          <w:rFonts w:ascii="Times New Roman" w:hAnsi="Times New Roman" w:cs="Times New Roman"/>
        </w:rPr>
      </w:pPr>
    </w:p>
    <w:p w14:paraId="3E37343D" w14:textId="77777777" w:rsidR="007876E3" w:rsidRDefault="007876E3" w:rsidP="007147B8">
      <w:pPr>
        <w:spacing w:line="360" w:lineRule="auto"/>
        <w:jc w:val="both"/>
        <w:rPr>
          <w:rFonts w:ascii="Times New Roman" w:hAnsi="Times New Roman" w:cs="Times New Roman"/>
        </w:rPr>
      </w:pPr>
    </w:p>
    <w:p w14:paraId="66DBD9C1" w14:textId="77777777" w:rsidR="007876E3" w:rsidRDefault="007876E3" w:rsidP="007147B8">
      <w:pPr>
        <w:spacing w:line="360" w:lineRule="auto"/>
        <w:jc w:val="both"/>
        <w:rPr>
          <w:rFonts w:ascii="Times New Roman" w:hAnsi="Times New Roman" w:cs="Times New Roman"/>
        </w:rPr>
      </w:pPr>
    </w:p>
    <w:p w14:paraId="1B3DB9E6" w14:textId="77777777" w:rsidR="007876E3" w:rsidRDefault="007876E3" w:rsidP="007147B8">
      <w:pPr>
        <w:spacing w:line="360" w:lineRule="auto"/>
        <w:jc w:val="both"/>
        <w:rPr>
          <w:rFonts w:ascii="Times New Roman" w:hAnsi="Times New Roman" w:cs="Times New Roman"/>
        </w:rPr>
      </w:pPr>
    </w:p>
    <w:p w14:paraId="2A117EE7" w14:textId="77777777" w:rsidR="007876E3" w:rsidRDefault="007876E3" w:rsidP="007147B8">
      <w:pPr>
        <w:spacing w:line="360" w:lineRule="auto"/>
        <w:jc w:val="both"/>
        <w:rPr>
          <w:rFonts w:ascii="Times New Roman" w:hAnsi="Times New Roman" w:cs="Times New Roman"/>
        </w:rPr>
      </w:pPr>
    </w:p>
    <w:p w14:paraId="0B7C0E3B" w14:textId="77777777" w:rsidR="009F64A8" w:rsidRDefault="009F64A8" w:rsidP="007147B8">
      <w:pPr>
        <w:spacing w:line="360" w:lineRule="auto"/>
        <w:jc w:val="both"/>
        <w:rPr>
          <w:rFonts w:ascii="Times New Roman" w:hAnsi="Times New Roman" w:cs="Times New Roman"/>
        </w:rPr>
      </w:pPr>
    </w:p>
    <w:p w14:paraId="313AB225" w14:textId="77777777" w:rsidR="009F64A8" w:rsidRDefault="009F64A8" w:rsidP="007147B8">
      <w:pPr>
        <w:spacing w:line="360" w:lineRule="auto"/>
        <w:jc w:val="both"/>
        <w:rPr>
          <w:rFonts w:ascii="Times New Roman" w:hAnsi="Times New Roman" w:cs="Times New Roman"/>
        </w:rPr>
      </w:pPr>
    </w:p>
    <w:p w14:paraId="33D0FE93" w14:textId="77777777" w:rsidR="009F64A8" w:rsidRDefault="009F64A8" w:rsidP="007147B8">
      <w:pPr>
        <w:spacing w:line="360" w:lineRule="auto"/>
        <w:jc w:val="both"/>
        <w:rPr>
          <w:rFonts w:ascii="Times New Roman" w:hAnsi="Times New Roman" w:cs="Times New Roman"/>
        </w:rPr>
      </w:pPr>
    </w:p>
    <w:p w14:paraId="73C30BAA" w14:textId="77777777" w:rsidR="009F64A8" w:rsidRDefault="009F64A8" w:rsidP="007147B8">
      <w:pPr>
        <w:spacing w:line="360" w:lineRule="auto"/>
        <w:jc w:val="both"/>
        <w:rPr>
          <w:rFonts w:ascii="Times New Roman" w:hAnsi="Times New Roman" w:cs="Times New Roman"/>
        </w:rPr>
      </w:pPr>
    </w:p>
    <w:p w14:paraId="7C3E2F4B" w14:textId="77777777" w:rsidR="007876E3" w:rsidRPr="007147B8" w:rsidRDefault="007876E3" w:rsidP="007147B8">
      <w:pPr>
        <w:spacing w:line="360" w:lineRule="auto"/>
        <w:jc w:val="both"/>
        <w:rPr>
          <w:rFonts w:ascii="Times New Roman" w:hAnsi="Times New Roman" w:cs="Times New Roman"/>
        </w:rPr>
      </w:pPr>
    </w:p>
    <w:p w14:paraId="3F23D2E9" w14:textId="48CC396B" w:rsidR="00B52716" w:rsidRPr="004C75E0" w:rsidRDefault="00B52716" w:rsidP="00B52716">
      <w:pPr>
        <w:pStyle w:val="Heading1"/>
        <w:spacing w:line="360" w:lineRule="auto"/>
        <w:rPr>
          <w:rFonts w:ascii="Times New Roman" w:hAnsi="Times New Roman" w:cs="Times New Roman"/>
        </w:rPr>
      </w:pPr>
      <w:bookmarkStart w:id="45" w:name="_Toc458687368"/>
      <w:r>
        <w:rPr>
          <w:rFonts w:ascii="Times New Roman" w:hAnsi="Times New Roman" w:cs="Times New Roman"/>
        </w:rPr>
        <w:t>6</w:t>
      </w:r>
      <w:r w:rsidRPr="004C75E0">
        <w:rPr>
          <w:rFonts w:ascii="Times New Roman" w:hAnsi="Times New Roman" w:cs="Times New Roman"/>
        </w:rPr>
        <w:t>.0: Sites of Strug</w:t>
      </w:r>
      <w:r w:rsidR="009E27F9">
        <w:rPr>
          <w:rFonts w:ascii="Times New Roman" w:hAnsi="Times New Roman" w:cs="Times New Roman"/>
        </w:rPr>
        <w:t>gle for Civil Society Advocacy B</w:t>
      </w:r>
      <w:r w:rsidRPr="004C75E0">
        <w:rPr>
          <w:rFonts w:ascii="Times New Roman" w:hAnsi="Times New Roman" w:cs="Times New Roman"/>
        </w:rPr>
        <w:t>eyond 2015</w:t>
      </w:r>
      <w:bookmarkEnd w:id="45"/>
      <w:r w:rsidRPr="004C75E0">
        <w:rPr>
          <w:rFonts w:ascii="Times New Roman" w:hAnsi="Times New Roman" w:cs="Times New Roman"/>
        </w:rPr>
        <w:t xml:space="preserve"> </w:t>
      </w:r>
    </w:p>
    <w:p w14:paraId="003082B3" w14:textId="77777777" w:rsidR="009E27F9" w:rsidRDefault="009E27F9" w:rsidP="00C65281">
      <w:pPr>
        <w:spacing w:line="360" w:lineRule="auto"/>
        <w:contextualSpacing/>
        <w:rPr>
          <w:rFonts w:ascii="Times New Roman" w:hAnsi="Times New Roman" w:cs="Times New Roman"/>
        </w:rPr>
      </w:pPr>
    </w:p>
    <w:p w14:paraId="5C5F1706" w14:textId="6EDEF153" w:rsidR="00B52716" w:rsidRDefault="00DE3EBC" w:rsidP="00C65281">
      <w:pPr>
        <w:spacing w:line="360" w:lineRule="auto"/>
        <w:contextualSpacing/>
        <w:rPr>
          <w:rFonts w:ascii="Times New Roman" w:hAnsi="Times New Roman" w:cs="Times New Roman"/>
        </w:rPr>
      </w:pPr>
      <w:r>
        <w:rPr>
          <w:rFonts w:ascii="Times New Roman" w:hAnsi="Times New Roman" w:cs="Times New Roman"/>
        </w:rPr>
        <w:t>Going forward, the following broad thematic areas could constitute building blocks upon which ZANEC might want to anchor its lobby</w:t>
      </w:r>
      <w:r w:rsidR="007147B8">
        <w:rPr>
          <w:rFonts w:ascii="Times New Roman" w:hAnsi="Times New Roman" w:cs="Times New Roman"/>
        </w:rPr>
        <w:t>ing</w:t>
      </w:r>
      <w:r>
        <w:rPr>
          <w:rFonts w:ascii="Times New Roman" w:hAnsi="Times New Roman" w:cs="Times New Roman"/>
        </w:rPr>
        <w:t xml:space="preserve"> and advocacy strategies:</w:t>
      </w:r>
    </w:p>
    <w:p w14:paraId="787823E8" w14:textId="77777777" w:rsidR="00DE3EBC" w:rsidRPr="004C75E0" w:rsidRDefault="00DE3EBC" w:rsidP="00C65281">
      <w:pPr>
        <w:spacing w:line="360" w:lineRule="auto"/>
        <w:contextualSpacing/>
        <w:rPr>
          <w:rFonts w:ascii="Times New Roman" w:hAnsi="Times New Roman" w:cs="Times New Roman"/>
        </w:rPr>
      </w:pPr>
    </w:p>
    <w:p w14:paraId="76C90686" w14:textId="77777777" w:rsidR="00B343B4" w:rsidRPr="007147B8" w:rsidRDefault="00DE3EBC" w:rsidP="00B343B4">
      <w:pPr>
        <w:numPr>
          <w:ilvl w:val="0"/>
          <w:numId w:val="8"/>
        </w:numPr>
        <w:autoSpaceDE w:val="0"/>
        <w:autoSpaceDN w:val="0"/>
        <w:adjustRightInd w:val="0"/>
        <w:spacing w:after="0" w:line="360" w:lineRule="auto"/>
        <w:contextualSpacing/>
        <w:jc w:val="both"/>
        <w:rPr>
          <w:rFonts w:ascii="Times New Roman" w:hAnsi="Times New Roman" w:cs="Times New Roman"/>
          <w:i/>
          <w:color w:val="000000"/>
          <w:sz w:val="24"/>
          <w:szCs w:val="24"/>
        </w:rPr>
      </w:pPr>
      <w:r w:rsidRPr="007147B8">
        <w:rPr>
          <w:rFonts w:ascii="Times New Roman" w:hAnsi="Times New Roman" w:cs="Times New Roman"/>
          <w:b/>
          <w:i/>
        </w:rPr>
        <w:t>I</w:t>
      </w:r>
      <w:r w:rsidR="00B52716" w:rsidRPr="007147B8">
        <w:rPr>
          <w:rFonts w:ascii="Times New Roman" w:hAnsi="Times New Roman" w:cs="Times New Roman"/>
          <w:b/>
          <w:i/>
        </w:rPr>
        <w:t>nclusive quality education for all in Zambia</w:t>
      </w:r>
      <w:r w:rsidRPr="007147B8">
        <w:rPr>
          <w:rFonts w:ascii="Times New Roman" w:hAnsi="Times New Roman" w:cs="Times New Roman"/>
          <w:b/>
          <w:i/>
        </w:rPr>
        <w:t xml:space="preserve">; </w:t>
      </w:r>
    </w:p>
    <w:p w14:paraId="47032DFA" w14:textId="0CC770B5" w:rsidR="00B52716" w:rsidRDefault="00B343B4" w:rsidP="00B343B4">
      <w:pPr>
        <w:autoSpaceDE w:val="0"/>
        <w:autoSpaceDN w:val="0"/>
        <w:adjustRightInd w:val="0"/>
        <w:spacing w:after="0" w:line="360" w:lineRule="auto"/>
        <w:contextualSpacing/>
        <w:jc w:val="both"/>
        <w:rPr>
          <w:rFonts w:ascii="Times New Roman" w:hAnsi="Times New Roman" w:cs="Times New Roman"/>
          <w:color w:val="000000"/>
          <w:sz w:val="24"/>
          <w:szCs w:val="24"/>
        </w:rPr>
      </w:pPr>
      <w:r>
        <w:rPr>
          <w:rFonts w:ascii="Times New Roman" w:hAnsi="Times New Roman" w:cs="Times New Roman"/>
        </w:rPr>
        <w:t>D</w:t>
      </w:r>
      <w:r w:rsidR="00DE3EBC" w:rsidRPr="00DE3EBC">
        <w:rPr>
          <w:rFonts w:ascii="Times New Roman" w:hAnsi="Times New Roman" w:cs="Times New Roman"/>
        </w:rPr>
        <w:t>espite notable strides in primary enrolment rates and exp</w:t>
      </w:r>
      <w:r w:rsidR="00DE3EBC">
        <w:rPr>
          <w:rFonts w:ascii="Times New Roman" w:hAnsi="Times New Roman" w:cs="Times New Roman"/>
        </w:rPr>
        <w:t>ansion of school</w:t>
      </w:r>
      <w:r>
        <w:rPr>
          <w:rFonts w:ascii="Times New Roman" w:hAnsi="Times New Roman" w:cs="Times New Roman"/>
        </w:rPr>
        <w:t>s</w:t>
      </w:r>
      <w:r w:rsidR="00DE3EBC">
        <w:rPr>
          <w:rFonts w:ascii="Times New Roman" w:hAnsi="Times New Roman" w:cs="Times New Roman"/>
        </w:rPr>
        <w:t xml:space="preserve"> it is clear tha</w:t>
      </w:r>
      <w:r>
        <w:rPr>
          <w:rFonts w:ascii="Times New Roman" w:hAnsi="Times New Roman" w:cs="Times New Roman"/>
        </w:rPr>
        <w:t>t</w:t>
      </w:r>
      <w:r w:rsidR="00DE3EBC" w:rsidRPr="00DE3EBC">
        <w:rPr>
          <w:rFonts w:ascii="Times New Roman" w:hAnsi="Times New Roman" w:cs="Times New Roman"/>
          <w:color w:val="000000"/>
          <w:sz w:val="24"/>
          <w:szCs w:val="24"/>
        </w:rPr>
        <w:t xml:space="preserve"> </w:t>
      </w:r>
      <w:r>
        <w:rPr>
          <w:rFonts w:ascii="Times New Roman" w:hAnsi="Times New Roman" w:cs="Times New Roman"/>
          <w:color w:val="000000"/>
          <w:sz w:val="24"/>
          <w:szCs w:val="24"/>
        </w:rPr>
        <w:t>q</w:t>
      </w:r>
      <w:r w:rsidR="00DE3EBC">
        <w:rPr>
          <w:rFonts w:ascii="Times New Roman" w:hAnsi="Times New Roman" w:cs="Times New Roman"/>
          <w:color w:val="000000"/>
          <w:sz w:val="24"/>
          <w:szCs w:val="24"/>
        </w:rPr>
        <w:t>uanti</w:t>
      </w:r>
      <w:r w:rsidR="00DE3EBC" w:rsidRPr="004C75E0">
        <w:rPr>
          <w:rFonts w:ascii="Times New Roman" w:hAnsi="Times New Roman" w:cs="Times New Roman"/>
          <w:color w:val="000000"/>
          <w:sz w:val="24"/>
          <w:szCs w:val="24"/>
        </w:rPr>
        <w:t>tative improvement in education, while necessary, are not sufficient. Improved enrolment and progression rates should be accompanied by quality teaching staff and upgraded school facilities to improve overall quality of education.</w:t>
      </w:r>
    </w:p>
    <w:p w14:paraId="5DF58600" w14:textId="77777777" w:rsidR="00B343B4" w:rsidRPr="00B343B4" w:rsidRDefault="00B343B4" w:rsidP="00B343B4">
      <w:pPr>
        <w:autoSpaceDE w:val="0"/>
        <w:autoSpaceDN w:val="0"/>
        <w:adjustRightInd w:val="0"/>
        <w:spacing w:after="0" w:line="360" w:lineRule="auto"/>
        <w:ind w:left="720"/>
        <w:contextualSpacing/>
        <w:jc w:val="both"/>
        <w:rPr>
          <w:rFonts w:ascii="Times New Roman" w:hAnsi="Times New Roman" w:cs="Times New Roman"/>
          <w:color w:val="000000"/>
          <w:sz w:val="24"/>
          <w:szCs w:val="24"/>
        </w:rPr>
      </w:pPr>
    </w:p>
    <w:p w14:paraId="60079FC4" w14:textId="0BA02965" w:rsidR="00B52716" w:rsidRPr="007147B8" w:rsidRDefault="00400477" w:rsidP="00B343B4">
      <w:pPr>
        <w:numPr>
          <w:ilvl w:val="0"/>
          <w:numId w:val="1"/>
        </w:numPr>
        <w:spacing w:line="360" w:lineRule="auto"/>
        <w:contextualSpacing/>
        <w:rPr>
          <w:rFonts w:ascii="Times New Roman" w:hAnsi="Times New Roman" w:cs="Times New Roman"/>
          <w:b/>
          <w:i/>
        </w:rPr>
      </w:pPr>
      <w:r w:rsidRPr="007147B8">
        <w:rPr>
          <w:rFonts w:ascii="Times New Roman" w:hAnsi="Times New Roman" w:cs="Times New Roman"/>
          <w:b/>
          <w:i/>
        </w:rPr>
        <w:t>I</w:t>
      </w:r>
      <w:r w:rsidR="00B52716" w:rsidRPr="007147B8">
        <w:rPr>
          <w:rFonts w:ascii="Times New Roman" w:hAnsi="Times New Roman" w:cs="Times New Roman"/>
          <w:b/>
          <w:i/>
        </w:rPr>
        <w:t xml:space="preserve">ncreased equitable and innovative domestic financing for education </w:t>
      </w:r>
    </w:p>
    <w:p w14:paraId="24C5BBD9" w14:textId="4E4E6431" w:rsidR="00B343B4" w:rsidRDefault="00B343B4" w:rsidP="00B343B4">
      <w:pPr>
        <w:spacing w:line="360" w:lineRule="auto"/>
        <w:contextualSpacing/>
        <w:jc w:val="both"/>
        <w:rPr>
          <w:rFonts w:ascii="Times New Roman" w:hAnsi="Times New Roman" w:cs="Times New Roman"/>
        </w:rPr>
      </w:pPr>
      <w:r>
        <w:rPr>
          <w:rFonts w:ascii="Times New Roman" w:hAnsi="Times New Roman" w:cs="Times New Roman"/>
        </w:rPr>
        <w:t>A case has been made that i</w:t>
      </w:r>
      <w:r w:rsidRPr="00F84F7E">
        <w:rPr>
          <w:rFonts w:ascii="Times New Roman" w:hAnsi="Times New Roman" w:cs="Times New Roman"/>
        </w:rPr>
        <w:t xml:space="preserve">mprovements in national revenue collection would benefit the education sector as more finances would be available for allocation. </w:t>
      </w:r>
      <w:r>
        <w:rPr>
          <w:rFonts w:ascii="Times New Roman" w:hAnsi="Times New Roman" w:cs="Times New Roman"/>
        </w:rPr>
        <w:t xml:space="preserve">However, the message is that Government </w:t>
      </w:r>
      <w:r w:rsidRPr="00F84F7E">
        <w:rPr>
          <w:rFonts w:ascii="Times New Roman" w:hAnsi="Times New Roman" w:cs="Times New Roman"/>
        </w:rPr>
        <w:t>need</w:t>
      </w:r>
      <w:r>
        <w:rPr>
          <w:rFonts w:ascii="Times New Roman" w:hAnsi="Times New Roman" w:cs="Times New Roman"/>
        </w:rPr>
        <w:t>s</w:t>
      </w:r>
      <w:r w:rsidRPr="00F84F7E">
        <w:rPr>
          <w:rFonts w:ascii="Times New Roman" w:hAnsi="Times New Roman" w:cs="Times New Roman"/>
        </w:rPr>
        <w:t xml:space="preserve"> to put in place mechanisms (some very basic, others more innovative) to expand its tax base. A lot of tax goes uncollected especially in the informal sectors. Concessions extended to large scale investors would need to be reviewed so as to ensure that the net effect is not merely a loss in tax revenue. The mining sector stands out as one that needs specific attention when it comes to revenue collection. It appears clear that government has so far failed to develop mechanisms that ensure that appropriate taxes can be paid</w:t>
      </w:r>
      <w:r w:rsidR="007147B8">
        <w:rPr>
          <w:rFonts w:ascii="Times New Roman" w:hAnsi="Times New Roman" w:cs="Times New Roman"/>
        </w:rPr>
        <w:t>.</w:t>
      </w:r>
    </w:p>
    <w:p w14:paraId="73B69985" w14:textId="77777777" w:rsidR="007147B8" w:rsidRPr="007147B8" w:rsidRDefault="007147B8" w:rsidP="007147B8">
      <w:pPr>
        <w:pStyle w:val="ListParagraph"/>
        <w:numPr>
          <w:ilvl w:val="0"/>
          <w:numId w:val="1"/>
        </w:numPr>
        <w:spacing w:after="200" w:line="360" w:lineRule="auto"/>
        <w:rPr>
          <w:rFonts w:ascii="Times New Roman" w:eastAsia="Calibri" w:hAnsi="Times New Roman" w:cs="Times New Roman"/>
          <w:b/>
          <w:bCs/>
          <w:i/>
          <w:iCs/>
          <w:lang w:val="en-US"/>
        </w:rPr>
      </w:pPr>
      <w:r w:rsidRPr="007147B8">
        <w:rPr>
          <w:rFonts w:ascii="Times New Roman" w:eastAsia="Calibri" w:hAnsi="Times New Roman" w:cs="Times New Roman"/>
          <w:b/>
          <w:bCs/>
          <w:i/>
          <w:iCs/>
          <w:lang w:val="en-US"/>
        </w:rPr>
        <w:t xml:space="preserve">Education doctrine and curriculum </w:t>
      </w:r>
    </w:p>
    <w:p w14:paraId="3F2C85FE" w14:textId="70CBF625" w:rsidR="007147B8" w:rsidRPr="007147B8" w:rsidRDefault="007147B8" w:rsidP="007147B8">
      <w:pPr>
        <w:spacing w:after="200" w:line="360" w:lineRule="auto"/>
        <w:jc w:val="both"/>
        <w:rPr>
          <w:rFonts w:ascii="Times New Roman" w:eastAsia="Calibri" w:hAnsi="Times New Roman" w:cs="Times New Roman"/>
          <w:lang w:val="en-US"/>
        </w:rPr>
      </w:pPr>
      <w:r w:rsidRPr="007147B8">
        <w:rPr>
          <w:rFonts w:ascii="Times New Roman" w:eastAsia="Calibri" w:hAnsi="Times New Roman" w:cs="Times New Roman"/>
          <w:lang w:val="en-US"/>
        </w:rPr>
        <w:t>Agai</w:t>
      </w:r>
      <w:r>
        <w:rPr>
          <w:rFonts w:ascii="Times New Roman" w:eastAsia="Calibri" w:hAnsi="Times New Roman" w:cs="Times New Roman"/>
          <w:lang w:val="en-US"/>
        </w:rPr>
        <w:t xml:space="preserve">nst the background of this </w:t>
      </w:r>
      <w:r w:rsidR="009E27F9">
        <w:rPr>
          <w:rFonts w:ascii="Times New Roman" w:eastAsia="Calibri" w:hAnsi="Times New Roman" w:cs="Times New Roman"/>
          <w:lang w:val="en-US"/>
        </w:rPr>
        <w:t>report’</w:t>
      </w:r>
      <w:r w:rsidR="009E27F9" w:rsidRPr="007147B8">
        <w:rPr>
          <w:rFonts w:ascii="Times New Roman" w:eastAsia="Calibri" w:hAnsi="Times New Roman" w:cs="Times New Roman"/>
          <w:lang w:val="en-US"/>
        </w:rPr>
        <w:t>s</w:t>
      </w:r>
      <w:r w:rsidRPr="007147B8">
        <w:rPr>
          <w:rFonts w:ascii="Times New Roman" w:eastAsia="Calibri" w:hAnsi="Times New Roman" w:cs="Times New Roman"/>
          <w:lang w:val="en-US"/>
        </w:rPr>
        <w:t xml:space="preserve"> discussion, the national education policy framework entitled </w:t>
      </w:r>
      <w:r w:rsidRPr="007147B8">
        <w:rPr>
          <w:rFonts w:ascii="Times New Roman" w:eastAsia="Calibri" w:hAnsi="Times New Roman" w:cs="Times New Roman"/>
          <w:i/>
          <w:lang w:val="en-US"/>
        </w:rPr>
        <w:t>Educating Our Future: National Education Policy</w:t>
      </w:r>
      <w:r w:rsidRPr="007147B8">
        <w:rPr>
          <w:rFonts w:ascii="Times New Roman" w:eastAsia="Calibri" w:hAnsi="Times New Roman" w:cs="Times New Roman"/>
          <w:lang w:val="en-US"/>
        </w:rPr>
        <w:t xml:space="preserve"> (1996) may no longer be a reliable guide for the future of the education system in Zambia. As a matter of fact, the policy has already been overtaken by other powerful documents outlining where Zambia should be moving to, the Fifth National Development Plan (2006-2010), the Sixth National Development Plan</w:t>
      </w:r>
      <w:r>
        <w:rPr>
          <w:rFonts w:ascii="Times New Roman" w:eastAsia="Calibri" w:hAnsi="Times New Roman" w:cs="Times New Roman"/>
          <w:lang w:val="en-US"/>
        </w:rPr>
        <w:t xml:space="preserve"> and the </w:t>
      </w:r>
      <w:r w:rsidRPr="007147B8">
        <w:rPr>
          <w:rFonts w:ascii="Times New Roman" w:eastAsia="Calibri" w:hAnsi="Times New Roman" w:cs="Times New Roman"/>
          <w:lang w:val="en-US"/>
        </w:rPr>
        <w:t>Vision 2030. But more fundamentally, none of these documents provide clear guidelines for what is being taught in Zambian schools, neither how teachers are being trained nor how the national budget for education is designed. It is for this reason it can be argued that education priorities in Zambia seem only to prepare students for the next stage of school rather than prepare them for realistic engagement with the needs of the Zambian society today. Admittedly, curriculum at every level in the Zambian system needs some thorough re-examination and critical re-evaluation. It must be made relevant to the community needs. The curriculum must be such that good technical, crafts and vocational training is for all students, not only for the few that enroll in the Technical and Vocational Educational Training (TEVET) system.</w:t>
      </w:r>
    </w:p>
    <w:p w14:paraId="2A1D32B9" w14:textId="77777777" w:rsidR="007147B8" w:rsidRPr="007147B8" w:rsidRDefault="007147B8" w:rsidP="007147B8">
      <w:pPr>
        <w:spacing w:after="200" w:line="360" w:lineRule="auto"/>
        <w:jc w:val="both"/>
        <w:rPr>
          <w:rFonts w:ascii="Times New Roman" w:eastAsia="Calibri" w:hAnsi="Times New Roman" w:cs="Times New Roman"/>
          <w:lang w:val="en-US"/>
        </w:rPr>
      </w:pPr>
      <w:r w:rsidRPr="007147B8">
        <w:rPr>
          <w:rFonts w:ascii="Times New Roman" w:eastAsia="Calibri" w:hAnsi="Times New Roman" w:cs="Times New Roman"/>
          <w:lang w:val="en-US"/>
        </w:rPr>
        <w:t>More specifically, re-orienting the education doctrine and training system at all levels is critical in order to enhance the quality of skills required by the labour market in Zambia. In this regard, efforts to increase the supply of vocational skills and training have to be seen in the context of increased participation rates in post-secondary and university education during the 1980s and early 1990s, which were concentrated in academic studies. To redress this academic bias, Zambia ought to strengthen upper secondary and post-secondary vocational studies, create or re-inforce apprenticeship-style training, and increase the capacity for advanced technical studies by developing tertiary level polytechnic institutions. A major thrust of this initiative must be to make the education system more relevant, flexible and responsive to the emerging needs of the Zambian society and be able to prepare young people to be involved in the changes necessary to move Zambia forward in the years ahead.</w:t>
      </w:r>
    </w:p>
    <w:p w14:paraId="3D2FA7B1" w14:textId="254692F7" w:rsidR="007147B8" w:rsidRPr="009E27F9" w:rsidRDefault="007147B8" w:rsidP="009E27F9">
      <w:pPr>
        <w:pStyle w:val="ListParagraph"/>
        <w:numPr>
          <w:ilvl w:val="0"/>
          <w:numId w:val="1"/>
        </w:numPr>
        <w:spacing w:after="200" w:line="360" w:lineRule="auto"/>
        <w:jc w:val="both"/>
        <w:rPr>
          <w:rFonts w:ascii="Times New Roman" w:eastAsia="Calibri" w:hAnsi="Times New Roman" w:cs="Times New Roman"/>
          <w:b/>
          <w:bCs/>
          <w:i/>
          <w:iCs/>
          <w:lang w:val="en-US"/>
        </w:rPr>
      </w:pPr>
      <w:r w:rsidRPr="009E27F9">
        <w:rPr>
          <w:rFonts w:ascii="Times New Roman" w:eastAsia="Calibri" w:hAnsi="Times New Roman" w:cs="Times New Roman"/>
          <w:b/>
          <w:bCs/>
          <w:i/>
          <w:iCs/>
          <w:lang w:val="en-US"/>
        </w:rPr>
        <w:t>School enrollments and the structure of the education system</w:t>
      </w:r>
    </w:p>
    <w:p w14:paraId="2271F475" w14:textId="5BAEE705" w:rsidR="007147B8" w:rsidRPr="007147B8" w:rsidRDefault="007147B8" w:rsidP="009E27F9">
      <w:pPr>
        <w:spacing w:after="200" w:line="360" w:lineRule="auto"/>
        <w:jc w:val="both"/>
        <w:rPr>
          <w:rFonts w:ascii="Times New Roman" w:eastAsia="Calibri" w:hAnsi="Times New Roman" w:cs="Times New Roman"/>
          <w:lang w:val="en-US"/>
        </w:rPr>
      </w:pPr>
      <w:r w:rsidRPr="007147B8">
        <w:rPr>
          <w:rFonts w:ascii="Times New Roman" w:eastAsia="Calibri" w:hAnsi="Times New Roman" w:cs="Times New Roman"/>
          <w:lang w:val="en-US"/>
        </w:rPr>
        <w:t xml:space="preserve">Granted that Millennium Development Goal (MDG) number two </w:t>
      </w:r>
      <w:r>
        <w:rPr>
          <w:rFonts w:ascii="Times New Roman" w:eastAsia="Calibri" w:hAnsi="Times New Roman" w:cs="Times New Roman"/>
          <w:lang w:val="en-US"/>
        </w:rPr>
        <w:t>(2) called</w:t>
      </w:r>
      <w:r w:rsidRPr="007147B8">
        <w:rPr>
          <w:rFonts w:ascii="Times New Roman" w:eastAsia="Calibri" w:hAnsi="Times New Roman" w:cs="Times New Roman"/>
          <w:lang w:val="en-US"/>
        </w:rPr>
        <w:t xml:space="preserve"> for ensuring that all children complete primary education by 2015 and that, within this context, the Zambian Government has implemented a policy of free education for all students through Grade 7 and has extended that through to grade 9 since about 2002, the government has not followed this up with significant budget allocations to education. The results have been obvious, plenty indirect school fees and extra charges to meet school expenses that are still preventing many children from accessing education. Besides, the dearth of school infrastructure, especially in rural areas, continues to hamper enrollment levels. Admittedly, the need is urgent that government must at the very least scrap off school fees at all levels of the public education system in Zambia. Accompanying these measures must be aggressive domestic resource mobilization by the state to finance an expanded school infrastructure at every level of Zambia’s education system.</w:t>
      </w:r>
    </w:p>
    <w:p w14:paraId="2FCDB555" w14:textId="36E70DD8" w:rsidR="007147B8" w:rsidRPr="009E27F9" w:rsidRDefault="007147B8" w:rsidP="009E27F9">
      <w:pPr>
        <w:pStyle w:val="ListParagraph"/>
        <w:numPr>
          <w:ilvl w:val="0"/>
          <w:numId w:val="1"/>
        </w:numPr>
        <w:spacing w:after="0" w:line="360" w:lineRule="auto"/>
        <w:jc w:val="both"/>
        <w:rPr>
          <w:rFonts w:ascii="Times New Roman" w:eastAsia="Times New Roman" w:hAnsi="Times New Roman" w:cs="Times New Roman"/>
          <w:bCs/>
        </w:rPr>
      </w:pPr>
      <w:r w:rsidRPr="009E27F9">
        <w:rPr>
          <w:rFonts w:ascii="Times New Roman" w:eastAsia="Times New Roman" w:hAnsi="Times New Roman" w:cs="Times New Roman"/>
          <w:b/>
          <w:i/>
          <w:iCs/>
        </w:rPr>
        <w:t>Donor dependence and resource mobilisation</w:t>
      </w:r>
    </w:p>
    <w:p w14:paraId="30385266" w14:textId="137C3983" w:rsidR="007147B8" w:rsidRDefault="007147B8" w:rsidP="009E27F9">
      <w:pPr>
        <w:spacing w:after="0" w:line="360" w:lineRule="auto"/>
        <w:jc w:val="both"/>
        <w:rPr>
          <w:rFonts w:ascii="Times New Roman" w:eastAsia="Times New Roman" w:hAnsi="Times New Roman" w:cs="Times New Roman"/>
          <w:bCs/>
        </w:rPr>
      </w:pPr>
      <w:r w:rsidRPr="007147B8">
        <w:rPr>
          <w:rFonts w:ascii="Times New Roman" w:eastAsia="Times New Roman" w:hAnsi="Times New Roman" w:cs="Times New Roman"/>
          <w:bCs/>
        </w:rPr>
        <w:t>The issue of donor dependency must be addressed because it is the very dependence that is one of the biggest obstacles to the development of education strategies tailored to Zambia’s own circumstances. Zambia needs to decrease the level of dependence and take control of its own educational policy and planning. Of course this does not mean that Zambia should not receive financial assistance from abroad, but does mean that the control of policy development, policy monitoring and evaluation and planning should be indigenised. Foreign funding and expertise should only be used if it is prepared to play a supportive and not a decision-making role. The government must therefore embark on intensive domestic resource mobilisation strategies. Appropriate and decisive taxation of the mining sector can provide for resources for state financing of education in Zambia. Another window of revenue opportunity is the gemstone industry that needs to be brought into the tax net. Further, the personal income tax base is restricted to only 12 percent of people at work – those in the formal sector. A huge revenue reservoir to the tune of about 88 percent of people at work is still untapped. In short, Zambia needs to be liberated from the grip of the external financing and thus, become more responsible to her people. Developing alternatives that will bring true educational benefits to her people will require a radical breakaway from donor dependence.</w:t>
      </w:r>
    </w:p>
    <w:p w14:paraId="1FB71A67" w14:textId="77777777" w:rsidR="009E27F9" w:rsidRPr="007147B8" w:rsidRDefault="009E27F9" w:rsidP="009E27F9">
      <w:pPr>
        <w:spacing w:after="0" w:line="360" w:lineRule="auto"/>
        <w:jc w:val="both"/>
        <w:rPr>
          <w:rFonts w:ascii="Times New Roman" w:eastAsia="Times New Roman" w:hAnsi="Times New Roman" w:cs="Times New Roman"/>
          <w:bCs/>
        </w:rPr>
      </w:pPr>
    </w:p>
    <w:p w14:paraId="7BBDE04E" w14:textId="4E7CA3A7" w:rsidR="007147B8" w:rsidRPr="009E27F9" w:rsidRDefault="007147B8" w:rsidP="009E27F9">
      <w:pPr>
        <w:pStyle w:val="ListParagraph"/>
        <w:numPr>
          <w:ilvl w:val="0"/>
          <w:numId w:val="1"/>
        </w:numPr>
        <w:spacing w:after="200" w:line="360" w:lineRule="auto"/>
        <w:jc w:val="both"/>
        <w:rPr>
          <w:rFonts w:ascii="Times New Roman" w:eastAsia="Calibri" w:hAnsi="Times New Roman" w:cs="Times New Roman"/>
          <w:b/>
          <w:bCs/>
          <w:i/>
          <w:iCs/>
          <w:lang w:val="en-US"/>
        </w:rPr>
      </w:pPr>
      <w:r w:rsidRPr="009E27F9">
        <w:rPr>
          <w:rFonts w:ascii="Times New Roman" w:eastAsia="Calibri" w:hAnsi="Times New Roman" w:cs="Times New Roman"/>
          <w:b/>
          <w:bCs/>
          <w:i/>
          <w:iCs/>
          <w:lang w:val="en-US"/>
        </w:rPr>
        <w:t>Stakeholder involvement and popular forums</w:t>
      </w:r>
    </w:p>
    <w:p w14:paraId="3E530B98" w14:textId="77777777" w:rsidR="007147B8" w:rsidRPr="007147B8" w:rsidRDefault="007147B8" w:rsidP="007147B8">
      <w:pPr>
        <w:spacing w:after="200" w:line="360" w:lineRule="auto"/>
        <w:jc w:val="both"/>
        <w:rPr>
          <w:rFonts w:ascii="Times New Roman" w:eastAsia="Calibri" w:hAnsi="Times New Roman" w:cs="Times New Roman"/>
          <w:color w:val="FF0000"/>
          <w:lang w:val="en-US"/>
        </w:rPr>
      </w:pPr>
      <w:r w:rsidRPr="007147B8">
        <w:rPr>
          <w:rFonts w:ascii="Times New Roman" w:eastAsia="Calibri" w:hAnsi="Times New Roman" w:cs="Times New Roman"/>
          <w:lang w:val="en-US"/>
        </w:rPr>
        <w:t>Government should involve all stakeholders in an-going and broad based consultation on education priorities. This does not mean that every decision should be the result of a mass meeting or vote, or that professionals and experts should be marginalized. What it does mean is that institutionalized forms of broad-based consultation should be established to ensure that government is aware of popular opinion when important policy decisions are made and that channels exist for dialogue between government and the people. Alternatively, where popular forums are established independently of government, governments should be prevailed upon to recognize them and even to pass legislation to compel organs of government administration to consult with popular forums in the development of educational policies. These forums could be established at various levels of the educational system: schools, local district, provinces and at national level.</w:t>
      </w:r>
    </w:p>
    <w:p w14:paraId="12F0986B" w14:textId="1465E082" w:rsidR="007147B8" w:rsidRPr="009E27F9" w:rsidRDefault="007147B8" w:rsidP="009E27F9">
      <w:pPr>
        <w:pStyle w:val="ListParagraph"/>
        <w:numPr>
          <w:ilvl w:val="0"/>
          <w:numId w:val="1"/>
        </w:numPr>
        <w:spacing w:after="200" w:line="360" w:lineRule="auto"/>
        <w:jc w:val="both"/>
        <w:rPr>
          <w:rFonts w:ascii="Times New Roman" w:eastAsia="Calibri" w:hAnsi="Times New Roman" w:cs="Times New Roman"/>
          <w:b/>
          <w:bCs/>
          <w:i/>
          <w:iCs/>
          <w:lang w:val="en-US"/>
        </w:rPr>
      </w:pPr>
      <w:r w:rsidRPr="009E27F9">
        <w:rPr>
          <w:rFonts w:ascii="Times New Roman" w:eastAsia="Calibri" w:hAnsi="Times New Roman" w:cs="Times New Roman"/>
          <w:b/>
          <w:bCs/>
          <w:i/>
          <w:iCs/>
          <w:lang w:val="en-US"/>
        </w:rPr>
        <w:t xml:space="preserve">Education and training research </w:t>
      </w:r>
    </w:p>
    <w:p w14:paraId="3D0E8EFE" w14:textId="66313197" w:rsidR="00C15D28" w:rsidRPr="009E27F9" w:rsidRDefault="007147B8" w:rsidP="009E27F9">
      <w:pPr>
        <w:spacing w:after="200" w:line="360" w:lineRule="auto"/>
        <w:jc w:val="both"/>
        <w:rPr>
          <w:rFonts w:ascii="Times New Roman" w:eastAsia="Calibri" w:hAnsi="Times New Roman" w:cs="Times New Roman"/>
          <w:lang w:val="en-US"/>
        </w:rPr>
      </w:pPr>
      <w:r w:rsidRPr="007147B8">
        <w:rPr>
          <w:rFonts w:ascii="Times New Roman" w:eastAsia="Calibri" w:hAnsi="Times New Roman" w:cs="Times New Roman"/>
          <w:lang w:val="en-US"/>
        </w:rPr>
        <w:t>Zambia needs to increase research into the problems of its own education system to find the most cost-effective and appropriate means for overcoming them, rather than following the latest (and often rapidly changing) fads of the World Bank and donor countries. This needs to be accompanied by improved cooperation and constant dialogue between departments of education and the research community as well as by region-wide research. In addition, research must be informed and have respect for the knowledge systems and ambitions of local communities and the willingness to discover these through a process of dialogue. It must also be informed by and have respect for the work of the world’s leading minds in the field of pedagogy, curriculum theory, psychology, social theory, management and leadership studies and other relevant fields. In this regard, it is important not to privilege western scholars at the expense of African and other third world scholars.</w:t>
      </w:r>
    </w:p>
    <w:p w14:paraId="479084EE" w14:textId="77777777" w:rsidR="009E27F9" w:rsidRDefault="009E27F9" w:rsidP="00A60BD4">
      <w:pPr>
        <w:pStyle w:val="Heading1"/>
        <w:spacing w:line="360" w:lineRule="auto"/>
        <w:rPr>
          <w:rFonts w:ascii="Times New Roman" w:hAnsi="Times New Roman" w:cs="Times New Roman"/>
        </w:rPr>
      </w:pPr>
    </w:p>
    <w:p w14:paraId="4BE58939" w14:textId="77777777" w:rsidR="009E27F9" w:rsidRDefault="009E27F9" w:rsidP="009E27F9"/>
    <w:p w14:paraId="3FCE383B" w14:textId="77777777" w:rsidR="009E27F9" w:rsidRDefault="009E27F9" w:rsidP="009E27F9"/>
    <w:p w14:paraId="7A7AD313" w14:textId="77777777" w:rsidR="009E27F9" w:rsidRPr="009E27F9" w:rsidRDefault="009E27F9" w:rsidP="009E27F9"/>
    <w:p w14:paraId="0DC8CD50" w14:textId="77777777" w:rsidR="009E27F9" w:rsidRDefault="009E27F9" w:rsidP="00A60BD4">
      <w:pPr>
        <w:pStyle w:val="Heading1"/>
        <w:spacing w:line="360" w:lineRule="auto"/>
        <w:rPr>
          <w:rFonts w:ascii="Times New Roman" w:hAnsi="Times New Roman" w:cs="Times New Roman"/>
        </w:rPr>
      </w:pPr>
    </w:p>
    <w:p w14:paraId="2085D55D" w14:textId="7CA0E70D" w:rsidR="001A40D8" w:rsidRDefault="001A40D8" w:rsidP="00A60BD4">
      <w:pPr>
        <w:pStyle w:val="Heading1"/>
        <w:spacing w:line="360" w:lineRule="auto"/>
        <w:rPr>
          <w:rFonts w:ascii="Times New Roman" w:hAnsi="Times New Roman" w:cs="Times New Roman"/>
        </w:rPr>
      </w:pPr>
      <w:bookmarkStart w:id="46" w:name="_Toc458687369"/>
      <w:r w:rsidRPr="004C75E0">
        <w:rPr>
          <w:rFonts w:ascii="Times New Roman" w:hAnsi="Times New Roman" w:cs="Times New Roman"/>
        </w:rPr>
        <w:t>References</w:t>
      </w:r>
      <w:bookmarkEnd w:id="46"/>
      <w:r w:rsidR="00C65281">
        <w:rPr>
          <w:rFonts w:ascii="Times New Roman" w:hAnsi="Times New Roman" w:cs="Times New Roman"/>
        </w:rPr>
        <w:t xml:space="preserve"> </w:t>
      </w:r>
    </w:p>
    <w:p w14:paraId="7FFD84CB" w14:textId="71FF0D1E" w:rsidR="006F4A70" w:rsidRDefault="006F4A70" w:rsidP="008F611D">
      <w:pPr>
        <w:pStyle w:val="Default"/>
        <w:spacing w:before="80" w:after="80"/>
        <w:jc w:val="both"/>
        <w:rPr>
          <w:sz w:val="21"/>
          <w:szCs w:val="21"/>
        </w:rPr>
      </w:pPr>
      <w:r>
        <w:rPr>
          <w:sz w:val="21"/>
          <w:szCs w:val="21"/>
        </w:rPr>
        <w:t>AfDB (African Development Bank). 2014. African Economic Outlook – Zambia 2014.Tunis:AfDB.</w:t>
      </w:r>
    </w:p>
    <w:p w14:paraId="3BDC6CE9" w14:textId="77777777" w:rsidR="006F4A70" w:rsidRDefault="006F4A70" w:rsidP="008F611D">
      <w:pPr>
        <w:pStyle w:val="Default"/>
        <w:spacing w:before="80" w:after="80"/>
        <w:jc w:val="both"/>
        <w:rPr>
          <w:sz w:val="21"/>
          <w:szCs w:val="21"/>
        </w:rPr>
      </w:pPr>
    </w:p>
    <w:p w14:paraId="56DBD427" w14:textId="77777777" w:rsidR="008F611D" w:rsidRPr="003732F2" w:rsidRDefault="008F611D" w:rsidP="008F611D">
      <w:pPr>
        <w:pStyle w:val="Default"/>
        <w:spacing w:before="80" w:after="80"/>
        <w:jc w:val="both"/>
        <w:rPr>
          <w:sz w:val="21"/>
          <w:szCs w:val="21"/>
        </w:rPr>
      </w:pPr>
      <w:r w:rsidRPr="003732F2">
        <w:rPr>
          <w:sz w:val="21"/>
          <w:szCs w:val="21"/>
        </w:rPr>
        <w:t>ANCEFA 2010, Africa Network Campaign on Education for All</w:t>
      </w:r>
      <w:r w:rsidRPr="003732F2">
        <w:rPr>
          <w:i/>
          <w:iCs/>
          <w:sz w:val="21"/>
          <w:szCs w:val="21"/>
        </w:rPr>
        <w:t xml:space="preserve"> (ANCEFA) Strategic Plan 2010-2014: Achieving EFA goals Together in Africa</w:t>
      </w:r>
      <w:r w:rsidRPr="003732F2">
        <w:rPr>
          <w:sz w:val="21"/>
          <w:szCs w:val="21"/>
        </w:rPr>
        <w:t>, Dakar: ANCEFA.</w:t>
      </w:r>
    </w:p>
    <w:p w14:paraId="66A9C1EF" w14:textId="77777777" w:rsidR="008F611D" w:rsidRDefault="008F611D" w:rsidP="008F611D">
      <w:pPr>
        <w:spacing w:before="80" w:after="80" w:line="240" w:lineRule="auto"/>
        <w:jc w:val="both"/>
        <w:rPr>
          <w:rFonts w:ascii="Times New Roman" w:eastAsia="Times New Roman" w:hAnsi="Times New Roman" w:cs="Times New Roman"/>
          <w:sz w:val="21"/>
          <w:szCs w:val="21"/>
        </w:rPr>
      </w:pPr>
    </w:p>
    <w:p w14:paraId="4A66C66A" w14:textId="1981DFF1" w:rsidR="008F611D" w:rsidRPr="003732F2" w:rsidRDefault="008F611D" w:rsidP="008F611D">
      <w:pPr>
        <w:spacing w:before="80" w:after="80" w:line="240" w:lineRule="auto"/>
        <w:jc w:val="both"/>
        <w:rPr>
          <w:rFonts w:ascii="Times New Roman" w:eastAsia="Times New Roman" w:hAnsi="Times New Roman" w:cs="Times New Roman"/>
          <w:sz w:val="21"/>
          <w:szCs w:val="21"/>
        </w:rPr>
      </w:pPr>
      <w:r w:rsidRPr="003732F2">
        <w:rPr>
          <w:rFonts w:ascii="Times New Roman" w:eastAsia="Times New Roman" w:hAnsi="Times New Roman" w:cs="Times New Roman"/>
          <w:sz w:val="21"/>
          <w:szCs w:val="21"/>
        </w:rPr>
        <w:t>Auditor General’s Reports 2010, 2011, 2012</w:t>
      </w:r>
      <w:r>
        <w:rPr>
          <w:rFonts w:ascii="Times New Roman" w:eastAsia="Times New Roman" w:hAnsi="Times New Roman" w:cs="Times New Roman"/>
          <w:sz w:val="21"/>
          <w:szCs w:val="21"/>
        </w:rPr>
        <w:t>, 2014</w:t>
      </w:r>
      <w:r w:rsidRPr="003732F2">
        <w:rPr>
          <w:rFonts w:ascii="Times New Roman" w:eastAsia="Times New Roman" w:hAnsi="Times New Roman" w:cs="Times New Roman"/>
          <w:sz w:val="21"/>
          <w:szCs w:val="21"/>
        </w:rPr>
        <w:t xml:space="preserve"> (for previous years)</w:t>
      </w:r>
    </w:p>
    <w:p w14:paraId="400FED60" w14:textId="77777777" w:rsidR="005B7340" w:rsidRDefault="005B7340" w:rsidP="008F611D">
      <w:pPr>
        <w:pStyle w:val="Default"/>
        <w:spacing w:before="80" w:after="80"/>
        <w:jc w:val="both"/>
        <w:rPr>
          <w:iCs/>
          <w:sz w:val="21"/>
          <w:szCs w:val="21"/>
        </w:rPr>
      </w:pPr>
    </w:p>
    <w:p w14:paraId="3E12556A" w14:textId="1825FABA" w:rsidR="005B7340" w:rsidRPr="003732F2" w:rsidRDefault="005B7340" w:rsidP="008F611D">
      <w:pPr>
        <w:pStyle w:val="Default"/>
        <w:spacing w:before="80" w:after="80"/>
        <w:jc w:val="both"/>
        <w:rPr>
          <w:iCs/>
          <w:sz w:val="21"/>
          <w:szCs w:val="21"/>
        </w:rPr>
      </w:pPr>
      <w:r>
        <w:rPr>
          <w:iCs/>
          <w:sz w:val="21"/>
          <w:szCs w:val="21"/>
        </w:rPr>
        <w:t>CSO (Central Statisctical Office). 2012. Zambia 2010 Census of population and Houding – Population Summary Report. Lusaka: Government of the Republic of Zambia.</w:t>
      </w:r>
    </w:p>
    <w:p w14:paraId="486E4A0B" w14:textId="77777777" w:rsidR="008F611D" w:rsidRDefault="008F611D" w:rsidP="008F611D">
      <w:pPr>
        <w:autoSpaceDE w:val="0"/>
        <w:autoSpaceDN w:val="0"/>
        <w:adjustRightInd w:val="0"/>
        <w:spacing w:before="80" w:after="80" w:line="240" w:lineRule="auto"/>
        <w:jc w:val="both"/>
        <w:rPr>
          <w:rFonts w:ascii="Times New Roman" w:hAnsi="Times New Roman" w:cs="Times New Roman"/>
          <w:sz w:val="21"/>
          <w:szCs w:val="21"/>
          <w:lang w:val="en-US"/>
        </w:rPr>
      </w:pPr>
    </w:p>
    <w:p w14:paraId="4E41F224" w14:textId="1551B9C4" w:rsidR="008F611D" w:rsidRDefault="008F611D" w:rsidP="008F611D">
      <w:pPr>
        <w:autoSpaceDE w:val="0"/>
        <w:autoSpaceDN w:val="0"/>
        <w:adjustRightInd w:val="0"/>
        <w:spacing w:before="80" w:after="80" w:line="240" w:lineRule="auto"/>
        <w:jc w:val="both"/>
        <w:rPr>
          <w:rFonts w:ascii="Times New Roman" w:hAnsi="Times New Roman" w:cs="Times New Roman"/>
          <w:bCs/>
          <w:sz w:val="21"/>
          <w:szCs w:val="21"/>
          <w:lang w:val="en-US"/>
        </w:rPr>
      </w:pPr>
      <w:r w:rsidRPr="003732F2">
        <w:rPr>
          <w:rFonts w:ascii="Times New Roman" w:hAnsi="Times New Roman" w:cs="Times New Roman"/>
          <w:sz w:val="21"/>
          <w:szCs w:val="21"/>
        </w:rPr>
        <w:t xml:space="preserve">Cholwe, B, 2013. </w:t>
      </w:r>
      <w:r w:rsidRPr="003732F2">
        <w:rPr>
          <w:rFonts w:ascii="Times New Roman" w:hAnsi="Times New Roman" w:cs="Times New Roman"/>
          <w:bCs/>
          <w:sz w:val="21"/>
          <w:szCs w:val="21"/>
          <w:lang w:val="en-US"/>
        </w:rPr>
        <w:t>Effective Delivery of Public Education Services – Discussion Paper. Afrimap and the Open Society Initiative for Southern Africa</w:t>
      </w:r>
      <w:r>
        <w:rPr>
          <w:rFonts w:ascii="Times New Roman" w:hAnsi="Times New Roman" w:cs="Times New Roman"/>
          <w:bCs/>
          <w:sz w:val="21"/>
          <w:szCs w:val="21"/>
          <w:lang w:val="en-US"/>
        </w:rPr>
        <w:t>.</w:t>
      </w:r>
    </w:p>
    <w:p w14:paraId="544406E1" w14:textId="77777777" w:rsidR="008F611D" w:rsidRDefault="008F611D" w:rsidP="008F611D">
      <w:pPr>
        <w:spacing w:before="80" w:after="80" w:line="240" w:lineRule="auto"/>
        <w:jc w:val="both"/>
        <w:rPr>
          <w:rFonts w:ascii="Times New Roman" w:hAnsi="Times New Roman" w:cs="Times New Roman"/>
          <w:sz w:val="21"/>
          <w:szCs w:val="21"/>
          <w:lang w:val="en-US"/>
        </w:rPr>
      </w:pPr>
    </w:p>
    <w:p w14:paraId="11A7AA41" w14:textId="0F3553EA" w:rsidR="008F611D" w:rsidRDefault="008F611D" w:rsidP="008F611D">
      <w:pPr>
        <w:spacing w:before="80" w:after="80" w:line="240" w:lineRule="auto"/>
        <w:jc w:val="both"/>
        <w:rPr>
          <w:rFonts w:ascii="Times New Roman" w:hAnsi="Times New Roman" w:cs="Times New Roman"/>
          <w:sz w:val="21"/>
          <w:szCs w:val="21"/>
          <w:lang w:val="en-US"/>
        </w:rPr>
      </w:pPr>
      <w:r w:rsidRPr="003732F2">
        <w:rPr>
          <w:rFonts w:ascii="Times New Roman" w:hAnsi="Times New Roman" w:cs="Times New Roman"/>
          <w:sz w:val="21"/>
          <w:szCs w:val="21"/>
          <w:lang w:val="en-US"/>
        </w:rPr>
        <w:t>IMF, 2008. Investment Incentives and Effective Tax Rates in Philippines: A Comparison with Neighboring Countries</w:t>
      </w:r>
      <w:r w:rsidR="002E7108">
        <w:rPr>
          <w:rFonts w:ascii="Times New Roman" w:hAnsi="Times New Roman" w:cs="Times New Roman"/>
          <w:sz w:val="21"/>
          <w:szCs w:val="21"/>
          <w:lang w:val="en-US"/>
        </w:rPr>
        <w:t>.</w:t>
      </w:r>
    </w:p>
    <w:p w14:paraId="08C3AE72" w14:textId="77777777" w:rsidR="002E7108" w:rsidRDefault="002E7108" w:rsidP="008F611D">
      <w:pPr>
        <w:spacing w:before="80" w:after="80" w:line="240" w:lineRule="auto"/>
        <w:jc w:val="both"/>
        <w:rPr>
          <w:rFonts w:ascii="Times New Roman" w:hAnsi="Times New Roman" w:cs="Times New Roman"/>
          <w:sz w:val="21"/>
          <w:szCs w:val="21"/>
          <w:lang w:val="en-US"/>
        </w:rPr>
      </w:pPr>
    </w:p>
    <w:p w14:paraId="07DEF3A2" w14:textId="52D677ED" w:rsidR="002E7108" w:rsidRDefault="002E7108" w:rsidP="008F611D">
      <w:pPr>
        <w:spacing w:before="80" w:after="80" w:line="240" w:lineRule="auto"/>
        <w:jc w:val="both"/>
        <w:rPr>
          <w:rFonts w:ascii="Times New Roman" w:hAnsi="Times New Roman" w:cs="Times New Roman"/>
          <w:sz w:val="21"/>
          <w:szCs w:val="21"/>
          <w:lang w:val="en-US"/>
        </w:rPr>
      </w:pPr>
      <w:r>
        <w:rPr>
          <w:rFonts w:ascii="Times New Roman" w:hAnsi="Times New Roman" w:cs="Times New Roman"/>
          <w:sz w:val="21"/>
          <w:szCs w:val="21"/>
          <w:lang w:val="en-US"/>
        </w:rPr>
        <w:t>IOB (Operations Evaluation Department). 2008. Primary Education in Zambia: IOB Impact Evaluation: the Hague: OBT.</w:t>
      </w:r>
    </w:p>
    <w:p w14:paraId="50C8B89C" w14:textId="77777777" w:rsidR="008F611D" w:rsidRDefault="008F611D" w:rsidP="008F611D">
      <w:pPr>
        <w:spacing w:before="80" w:after="80" w:line="240" w:lineRule="auto"/>
        <w:jc w:val="both"/>
        <w:rPr>
          <w:rFonts w:ascii="Times New Roman" w:hAnsi="Times New Roman" w:cs="Times New Roman"/>
          <w:sz w:val="21"/>
          <w:szCs w:val="21"/>
        </w:rPr>
      </w:pPr>
    </w:p>
    <w:p w14:paraId="7A8944ED" w14:textId="26D4BEB3" w:rsidR="008F611D" w:rsidRDefault="008F611D" w:rsidP="008F611D">
      <w:pPr>
        <w:spacing w:before="80" w:after="80" w:line="240" w:lineRule="auto"/>
        <w:jc w:val="both"/>
        <w:rPr>
          <w:rFonts w:ascii="Times New Roman" w:hAnsi="Times New Roman" w:cs="Times New Roman"/>
          <w:bCs/>
          <w:sz w:val="21"/>
          <w:szCs w:val="21"/>
        </w:rPr>
      </w:pPr>
      <w:r w:rsidRPr="003732F2">
        <w:rPr>
          <w:rFonts w:ascii="Times New Roman" w:hAnsi="Times New Roman" w:cs="Times New Roman"/>
          <w:sz w:val="21"/>
          <w:szCs w:val="21"/>
        </w:rPr>
        <w:t xml:space="preserve">Kelly, M.J. 1999. </w:t>
      </w:r>
      <w:r w:rsidRPr="003732F2">
        <w:rPr>
          <w:rFonts w:ascii="Times New Roman" w:hAnsi="Times New Roman" w:cs="Times New Roman"/>
          <w:bCs/>
          <w:sz w:val="21"/>
          <w:szCs w:val="21"/>
        </w:rPr>
        <w:t>The origins and development of education in Zambia – from pre-colonial times to 1996: a book of notes and readings. Lusaka: Image Publishers Limited.</w:t>
      </w:r>
    </w:p>
    <w:p w14:paraId="017BF088" w14:textId="77777777" w:rsidR="00E2004F" w:rsidRDefault="00E2004F" w:rsidP="008F611D">
      <w:pPr>
        <w:spacing w:before="80" w:after="80" w:line="240" w:lineRule="auto"/>
        <w:jc w:val="both"/>
        <w:rPr>
          <w:rFonts w:ascii="Times New Roman" w:hAnsi="Times New Roman" w:cs="Times New Roman"/>
          <w:bCs/>
          <w:sz w:val="21"/>
          <w:szCs w:val="21"/>
        </w:rPr>
      </w:pPr>
    </w:p>
    <w:p w14:paraId="0AC7487C" w14:textId="6E14CA68" w:rsidR="00E2004F" w:rsidRPr="008F611D" w:rsidRDefault="00E2004F" w:rsidP="008F611D">
      <w:pPr>
        <w:spacing w:before="80" w:after="80" w:line="240" w:lineRule="auto"/>
        <w:jc w:val="both"/>
        <w:rPr>
          <w:rFonts w:ascii="Times New Roman" w:hAnsi="Times New Roman" w:cs="Times New Roman"/>
          <w:bCs/>
          <w:sz w:val="21"/>
          <w:szCs w:val="21"/>
        </w:rPr>
      </w:pPr>
      <w:r>
        <w:rPr>
          <w:rFonts w:ascii="Times New Roman" w:hAnsi="Times New Roman" w:cs="Times New Roman"/>
          <w:bCs/>
          <w:sz w:val="21"/>
          <w:szCs w:val="21"/>
        </w:rPr>
        <w:t>Kelly, M.J. 1991. Education in a Declining Economy</w:t>
      </w:r>
      <w:r w:rsidR="001C5851">
        <w:rPr>
          <w:rFonts w:ascii="Times New Roman" w:hAnsi="Times New Roman" w:cs="Times New Roman"/>
          <w:bCs/>
          <w:sz w:val="21"/>
          <w:szCs w:val="21"/>
        </w:rPr>
        <w:t>. Washington: World Bank.</w:t>
      </w:r>
    </w:p>
    <w:p w14:paraId="3CBAC43F" w14:textId="77777777" w:rsidR="008F611D" w:rsidRDefault="008F611D" w:rsidP="008F611D">
      <w:pPr>
        <w:spacing w:before="80" w:after="80" w:line="240" w:lineRule="auto"/>
        <w:jc w:val="both"/>
        <w:rPr>
          <w:rFonts w:ascii="Times New Roman" w:hAnsi="Times New Roman" w:cs="Times New Roman"/>
          <w:sz w:val="21"/>
          <w:szCs w:val="21"/>
        </w:rPr>
      </w:pPr>
    </w:p>
    <w:p w14:paraId="7F263A3F" w14:textId="14BAB75F" w:rsidR="008F611D" w:rsidRPr="003732F2" w:rsidRDefault="008F611D" w:rsidP="008F611D">
      <w:pPr>
        <w:spacing w:before="80" w:after="80" w:line="240" w:lineRule="auto"/>
        <w:jc w:val="both"/>
        <w:rPr>
          <w:rFonts w:ascii="Times New Roman" w:hAnsi="Times New Roman" w:cs="Times New Roman"/>
          <w:sz w:val="21"/>
          <w:szCs w:val="21"/>
        </w:rPr>
      </w:pPr>
      <w:r>
        <w:rPr>
          <w:rFonts w:ascii="Times New Roman" w:hAnsi="Times New Roman" w:cs="Times New Roman"/>
          <w:sz w:val="21"/>
          <w:szCs w:val="21"/>
        </w:rPr>
        <w:t>Ministry of Education’s</w:t>
      </w:r>
      <w:r w:rsidRPr="003732F2">
        <w:rPr>
          <w:rFonts w:ascii="Times New Roman" w:hAnsi="Times New Roman" w:cs="Times New Roman"/>
          <w:sz w:val="21"/>
          <w:szCs w:val="21"/>
        </w:rPr>
        <w:t xml:space="preserve"> Annual Work Plan</w:t>
      </w:r>
      <w:r>
        <w:rPr>
          <w:rFonts w:ascii="Times New Roman" w:hAnsi="Times New Roman" w:cs="Times New Roman"/>
          <w:sz w:val="21"/>
          <w:szCs w:val="21"/>
        </w:rPr>
        <w:t xml:space="preserve"> and Budget</w:t>
      </w:r>
      <w:r w:rsidRPr="003732F2">
        <w:rPr>
          <w:rFonts w:ascii="Times New Roman" w:hAnsi="Times New Roman" w:cs="Times New Roman"/>
          <w:sz w:val="21"/>
          <w:szCs w:val="21"/>
        </w:rPr>
        <w:t>, 2013</w:t>
      </w:r>
    </w:p>
    <w:p w14:paraId="49B90E60" w14:textId="77777777" w:rsidR="008F611D" w:rsidRDefault="008F611D" w:rsidP="008F611D">
      <w:pPr>
        <w:spacing w:before="80" w:after="80" w:line="240" w:lineRule="auto"/>
        <w:jc w:val="both"/>
        <w:rPr>
          <w:rFonts w:ascii="Times New Roman" w:hAnsi="Times New Roman" w:cs="Times New Roman"/>
          <w:sz w:val="21"/>
          <w:szCs w:val="21"/>
          <w:lang w:val="en-US"/>
        </w:rPr>
      </w:pPr>
    </w:p>
    <w:p w14:paraId="7895705B" w14:textId="7A73C56F" w:rsidR="008F611D" w:rsidRDefault="008F611D" w:rsidP="008F611D">
      <w:pPr>
        <w:spacing w:before="80" w:after="80" w:line="240" w:lineRule="auto"/>
        <w:jc w:val="both"/>
        <w:rPr>
          <w:rFonts w:ascii="Times New Roman" w:hAnsi="Times New Roman" w:cs="Times New Roman"/>
          <w:sz w:val="21"/>
          <w:szCs w:val="21"/>
        </w:rPr>
      </w:pPr>
      <w:r>
        <w:rPr>
          <w:rFonts w:ascii="Times New Roman" w:hAnsi="Times New Roman" w:cs="Times New Roman"/>
          <w:sz w:val="21"/>
          <w:szCs w:val="21"/>
          <w:lang w:val="en-US"/>
        </w:rPr>
        <w:t>Ministry of Education</w:t>
      </w:r>
      <w:r w:rsidRPr="003732F2">
        <w:rPr>
          <w:rFonts w:ascii="Times New Roman" w:hAnsi="Times New Roman" w:cs="Times New Roman"/>
          <w:sz w:val="21"/>
          <w:szCs w:val="21"/>
          <w:lang w:val="en-US"/>
        </w:rPr>
        <w:t xml:space="preserve">’s </w:t>
      </w:r>
      <w:r w:rsidRPr="003732F2">
        <w:rPr>
          <w:rFonts w:ascii="Times New Roman" w:hAnsi="Times New Roman" w:cs="Times New Roman"/>
          <w:sz w:val="21"/>
          <w:szCs w:val="21"/>
        </w:rPr>
        <w:t>Annual Work Plan and Budget, 2014</w:t>
      </w:r>
    </w:p>
    <w:p w14:paraId="0C8E10EC" w14:textId="77777777" w:rsidR="00225C5A" w:rsidRDefault="00225C5A" w:rsidP="008F611D">
      <w:pPr>
        <w:spacing w:before="80" w:after="80" w:line="240" w:lineRule="auto"/>
        <w:jc w:val="both"/>
        <w:rPr>
          <w:rFonts w:ascii="Times New Roman" w:hAnsi="Times New Roman" w:cs="Times New Roman"/>
          <w:sz w:val="21"/>
          <w:szCs w:val="21"/>
        </w:rPr>
      </w:pPr>
    </w:p>
    <w:p w14:paraId="412BEC3A" w14:textId="6615FCF7" w:rsidR="00225C5A" w:rsidRDefault="00225C5A" w:rsidP="008F611D">
      <w:pPr>
        <w:spacing w:before="80" w:after="80" w:line="240" w:lineRule="auto"/>
        <w:jc w:val="both"/>
        <w:rPr>
          <w:rFonts w:ascii="Times New Roman" w:hAnsi="Times New Roman" w:cs="Times New Roman"/>
          <w:sz w:val="21"/>
          <w:szCs w:val="21"/>
        </w:rPr>
      </w:pPr>
      <w:r>
        <w:rPr>
          <w:rFonts w:ascii="Times New Roman" w:hAnsi="Times New Roman" w:cs="Times New Roman"/>
          <w:sz w:val="21"/>
          <w:szCs w:val="21"/>
        </w:rPr>
        <w:t>Ministry of Education, Education Statistical Bulletins, 2004.</w:t>
      </w:r>
    </w:p>
    <w:p w14:paraId="09526EC1" w14:textId="77777777" w:rsidR="00225C5A" w:rsidRDefault="00225C5A" w:rsidP="008F611D">
      <w:pPr>
        <w:spacing w:before="80" w:after="80" w:line="240" w:lineRule="auto"/>
        <w:jc w:val="both"/>
        <w:rPr>
          <w:rFonts w:ascii="Times New Roman" w:hAnsi="Times New Roman" w:cs="Times New Roman"/>
          <w:sz w:val="21"/>
          <w:szCs w:val="21"/>
        </w:rPr>
      </w:pPr>
    </w:p>
    <w:p w14:paraId="47CB8765" w14:textId="1C21230D" w:rsidR="00225C5A" w:rsidRDefault="00225C5A" w:rsidP="008F611D">
      <w:pPr>
        <w:spacing w:before="80" w:after="80" w:line="240" w:lineRule="auto"/>
        <w:jc w:val="both"/>
        <w:rPr>
          <w:rFonts w:ascii="Times New Roman" w:hAnsi="Times New Roman" w:cs="Times New Roman"/>
          <w:sz w:val="21"/>
          <w:szCs w:val="21"/>
        </w:rPr>
      </w:pPr>
      <w:r>
        <w:rPr>
          <w:rFonts w:ascii="Times New Roman" w:hAnsi="Times New Roman" w:cs="Times New Roman"/>
          <w:sz w:val="21"/>
          <w:szCs w:val="21"/>
        </w:rPr>
        <w:t>Ministry of Education, Education Statistical Bulletins, 2009</w:t>
      </w:r>
    </w:p>
    <w:p w14:paraId="108C5C10" w14:textId="77777777" w:rsidR="00225C5A" w:rsidRDefault="00225C5A" w:rsidP="008F611D">
      <w:pPr>
        <w:spacing w:before="80" w:after="80" w:line="240" w:lineRule="auto"/>
        <w:jc w:val="both"/>
        <w:rPr>
          <w:rFonts w:ascii="Times New Roman" w:hAnsi="Times New Roman" w:cs="Times New Roman"/>
          <w:sz w:val="21"/>
          <w:szCs w:val="21"/>
        </w:rPr>
      </w:pPr>
    </w:p>
    <w:p w14:paraId="635DAF76" w14:textId="39872467" w:rsidR="00225C5A" w:rsidRDefault="00225C5A" w:rsidP="008F611D">
      <w:pPr>
        <w:spacing w:before="80" w:after="80" w:line="240" w:lineRule="auto"/>
        <w:jc w:val="both"/>
        <w:rPr>
          <w:rFonts w:ascii="Times New Roman" w:hAnsi="Times New Roman" w:cs="Times New Roman"/>
          <w:sz w:val="21"/>
          <w:szCs w:val="21"/>
        </w:rPr>
      </w:pPr>
      <w:r>
        <w:rPr>
          <w:rFonts w:ascii="Times New Roman" w:hAnsi="Times New Roman" w:cs="Times New Roman"/>
          <w:sz w:val="21"/>
          <w:szCs w:val="21"/>
        </w:rPr>
        <w:t>Ministry of Education, Education Statistical Bulletins, 2010</w:t>
      </w:r>
    </w:p>
    <w:p w14:paraId="73B480B7" w14:textId="77777777" w:rsidR="00225C5A" w:rsidRDefault="00225C5A" w:rsidP="008F611D">
      <w:pPr>
        <w:spacing w:before="80" w:after="80" w:line="240" w:lineRule="auto"/>
        <w:jc w:val="both"/>
        <w:rPr>
          <w:rFonts w:ascii="Times New Roman" w:hAnsi="Times New Roman" w:cs="Times New Roman"/>
          <w:sz w:val="21"/>
          <w:szCs w:val="21"/>
        </w:rPr>
      </w:pPr>
    </w:p>
    <w:p w14:paraId="6EBAE171" w14:textId="782BD870" w:rsidR="00225C5A" w:rsidRDefault="00225C5A" w:rsidP="008F611D">
      <w:pPr>
        <w:spacing w:before="80" w:after="80" w:line="240" w:lineRule="auto"/>
        <w:jc w:val="both"/>
        <w:rPr>
          <w:rFonts w:ascii="Times New Roman" w:hAnsi="Times New Roman" w:cs="Times New Roman"/>
          <w:sz w:val="21"/>
          <w:szCs w:val="21"/>
        </w:rPr>
      </w:pPr>
      <w:r>
        <w:rPr>
          <w:rFonts w:ascii="Times New Roman" w:hAnsi="Times New Roman" w:cs="Times New Roman"/>
          <w:sz w:val="21"/>
          <w:szCs w:val="21"/>
        </w:rPr>
        <w:t>Ministry of Education, Education Statistical Bulletins, 2011</w:t>
      </w:r>
    </w:p>
    <w:p w14:paraId="122D8AA0" w14:textId="77777777" w:rsidR="00225C5A" w:rsidRDefault="00225C5A" w:rsidP="008F611D">
      <w:pPr>
        <w:spacing w:before="80" w:after="80" w:line="240" w:lineRule="auto"/>
        <w:jc w:val="both"/>
        <w:rPr>
          <w:rFonts w:ascii="Times New Roman" w:hAnsi="Times New Roman" w:cs="Times New Roman"/>
          <w:sz w:val="21"/>
          <w:szCs w:val="21"/>
        </w:rPr>
      </w:pPr>
    </w:p>
    <w:p w14:paraId="451B495B" w14:textId="4AD26FF7" w:rsidR="00225C5A" w:rsidRDefault="00225C5A" w:rsidP="008F611D">
      <w:pPr>
        <w:spacing w:before="80" w:after="80" w:line="240" w:lineRule="auto"/>
        <w:jc w:val="both"/>
        <w:rPr>
          <w:rFonts w:ascii="Times New Roman" w:hAnsi="Times New Roman" w:cs="Times New Roman"/>
          <w:sz w:val="21"/>
          <w:szCs w:val="21"/>
        </w:rPr>
      </w:pPr>
      <w:r>
        <w:rPr>
          <w:rFonts w:ascii="Times New Roman" w:hAnsi="Times New Roman" w:cs="Times New Roman"/>
          <w:sz w:val="21"/>
          <w:szCs w:val="21"/>
        </w:rPr>
        <w:t>Ministry of Education, Education Statistical Bulletins, 2012</w:t>
      </w:r>
    </w:p>
    <w:p w14:paraId="4F5A0083" w14:textId="77777777" w:rsidR="00225C5A" w:rsidRDefault="00225C5A" w:rsidP="008F611D">
      <w:pPr>
        <w:spacing w:before="80" w:after="80" w:line="240" w:lineRule="auto"/>
        <w:jc w:val="both"/>
        <w:rPr>
          <w:rFonts w:ascii="Times New Roman" w:hAnsi="Times New Roman" w:cs="Times New Roman"/>
          <w:sz w:val="21"/>
          <w:szCs w:val="21"/>
        </w:rPr>
      </w:pPr>
    </w:p>
    <w:p w14:paraId="061E306C" w14:textId="69ECE631" w:rsidR="00225C5A" w:rsidRDefault="00225C5A" w:rsidP="008F611D">
      <w:pPr>
        <w:spacing w:before="80" w:after="80" w:line="240" w:lineRule="auto"/>
        <w:jc w:val="both"/>
        <w:rPr>
          <w:rFonts w:ascii="Times New Roman" w:hAnsi="Times New Roman" w:cs="Times New Roman"/>
          <w:sz w:val="21"/>
          <w:szCs w:val="21"/>
        </w:rPr>
      </w:pPr>
      <w:r>
        <w:rPr>
          <w:rFonts w:ascii="Times New Roman" w:hAnsi="Times New Roman" w:cs="Times New Roman"/>
          <w:sz w:val="21"/>
          <w:szCs w:val="21"/>
        </w:rPr>
        <w:t>Ministry of Education, Education Statistical Bulletins, 2013</w:t>
      </w:r>
    </w:p>
    <w:p w14:paraId="37699E5B" w14:textId="77777777" w:rsidR="00225C5A" w:rsidRDefault="00225C5A" w:rsidP="008F611D">
      <w:pPr>
        <w:spacing w:before="80" w:after="80" w:line="240" w:lineRule="auto"/>
        <w:jc w:val="both"/>
        <w:rPr>
          <w:rFonts w:ascii="Times New Roman" w:hAnsi="Times New Roman" w:cs="Times New Roman"/>
          <w:sz w:val="21"/>
          <w:szCs w:val="21"/>
        </w:rPr>
      </w:pPr>
    </w:p>
    <w:p w14:paraId="4047DD89" w14:textId="4D5F17A7" w:rsidR="00225C5A" w:rsidRPr="003732F2" w:rsidRDefault="00225C5A" w:rsidP="008F611D">
      <w:pPr>
        <w:spacing w:before="80" w:after="80" w:line="240" w:lineRule="auto"/>
        <w:jc w:val="both"/>
        <w:rPr>
          <w:rFonts w:ascii="Times New Roman" w:hAnsi="Times New Roman" w:cs="Times New Roman"/>
          <w:sz w:val="21"/>
          <w:szCs w:val="21"/>
        </w:rPr>
      </w:pPr>
      <w:r>
        <w:rPr>
          <w:rFonts w:ascii="Times New Roman" w:hAnsi="Times New Roman" w:cs="Times New Roman"/>
          <w:sz w:val="21"/>
          <w:szCs w:val="21"/>
        </w:rPr>
        <w:t>Ministry of Education, Education Statistical Bulletins, 2014</w:t>
      </w:r>
    </w:p>
    <w:p w14:paraId="5B6960CD" w14:textId="77777777" w:rsidR="008F611D" w:rsidRDefault="008F611D" w:rsidP="008F611D">
      <w:pPr>
        <w:autoSpaceDE w:val="0"/>
        <w:autoSpaceDN w:val="0"/>
        <w:adjustRightInd w:val="0"/>
        <w:spacing w:before="80" w:after="80" w:line="240" w:lineRule="auto"/>
        <w:jc w:val="both"/>
        <w:rPr>
          <w:rFonts w:ascii="Times New Roman" w:eastAsia="Times New Roman" w:hAnsi="Times New Roman" w:cs="Times New Roman"/>
          <w:sz w:val="21"/>
          <w:szCs w:val="21"/>
        </w:rPr>
      </w:pPr>
    </w:p>
    <w:p w14:paraId="18043B70" w14:textId="77777777" w:rsidR="008F611D" w:rsidRPr="003732F2" w:rsidRDefault="008F611D" w:rsidP="008F611D">
      <w:pPr>
        <w:autoSpaceDE w:val="0"/>
        <w:autoSpaceDN w:val="0"/>
        <w:adjustRightInd w:val="0"/>
        <w:spacing w:before="80" w:after="80" w:line="240" w:lineRule="auto"/>
        <w:jc w:val="both"/>
        <w:rPr>
          <w:rFonts w:ascii="Times New Roman" w:eastAsia="Times New Roman" w:hAnsi="Times New Roman" w:cs="Times New Roman"/>
          <w:sz w:val="21"/>
          <w:szCs w:val="21"/>
        </w:rPr>
      </w:pPr>
      <w:r w:rsidRPr="003732F2">
        <w:rPr>
          <w:rFonts w:ascii="Times New Roman" w:eastAsia="Times New Roman" w:hAnsi="Times New Roman" w:cs="Times New Roman"/>
          <w:sz w:val="21"/>
          <w:szCs w:val="21"/>
        </w:rPr>
        <w:t>Ministry of Education. 2012. National Implementation Framwrok (NIF III). 2011 – 2015. GRZ</w:t>
      </w:r>
    </w:p>
    <w:p w14:paraId="74B36FD6" w14:textId="77777777" w:rsidR="008F611D" w:rsidRDefault="008F611D" w:rsidP="008F611D">
      <w:pPr>
        <w:pStyle w:val="FootnoteText"/>
        <w:spacing w:before="80" w:after="80"/>
        <w:jc w:val="both"/>
        <w:rPr>
          <w:rFonts w:ascii="Times New Roman" w:hAnsi="Times New Roman" w:cs="Times New Roman"/>
          <w:iCs/>
          <w:sz w:val="21"/>
          <w:szCs w:val="21"/>
        </w:rPr>
      </w:pPr>
    </w:p>
    <w:p w14:paraId="7568EC36" w14:textId="3C92B1B3" w:rsidR="008F611D" w:rsidRDefault="008F611D" w:rsidP="008F611D">
      <w:pPr>
        <w:pStyle w:val="FootnoteText"/>
        <w:spacing w:before="80" w:after="80"/>
        <w:jc w:val="both"/>
        <w:rPr>
          <w:rFonts w:ascii="Times New Roman" w:hAnsi="Times New Roman" w:cs="Times New Roman"/>
          <w:iCs/>
          <w:sz w:val="21"/>
          <w:szCs w:val="21"/>
        </w:rPr>
      </w:pPr>
      <w:r w:rsidRPr="003732F2">
        <w:rPr>
          <w:rFonts w:ascii="Times New Roman" w:hAnsi="Times New Roman" w:cs="Times New Roman"/>
          <w:iCs/>
          <w:sz w:val="21"/>
          <w:szCs w:val="21"/>
        </w:rPr>
        <w:t xml:space="preserve">Ministry of Finance and National Planning. 2009, 2010, 2011, 2012, 2013 and 2014. Estimates of Revenue and Expenditure </w:t>
      </w:r>
      <w:r w:rsidR="006F4A70">
        <w:rPr>
          <w:rFonts w:ascii="Times New Roman" w:hAnsi="Times New Roman" w:cs="Times New Roman"/>
          <w:iCs/>
          <w:sz w:val="21"/>
          <w:szCs w:val="21"/>
        </w:rPr>
        <w:t>.</w:t>
      </w:r>
    </w:p>
    <w:p w14:paraId="761C73C8" w14:textId="77777777" w:rsidR="006F4A70" w:rsidRPr="003732F2" w:rsidRDefault="006F4A70" w:rsidP="008F611D">
      <w:pPr>
        <w:pStyle w:val="FootnoteText"/>
        <w:spacing w:before="80" w:after="80"/>
        <w:jc w:val="both"/>
        <w:rPr>
          <w:rFonts w:ascii="Times New Roman" w:hAnsi="Times New Roman" w:cs="Times New Roman"/>
          <w:iCs/>
          <w:sz w:val="21"/>
          <w:szCs w:val="21"/>
        </w:rPr>
      </w:pPr>
    </w:p>
    <w:p w14:paraId="553ABA1E" w14:textId="77777777" w:rsidR="008F611D" w:rsidRDefault="008F611D" w:rsidP="008F611D">
      <w:pPr>
        <w:autoSpaceDE w:val="0"/>
        <w:autoSpaceDN w:val="0"/>
        <w:adjustRightInd w:val="0"/>
        <w:spacing w:before="80" w:after="80" w:line="240" w:lineRule="auto"/>
        <w:jc w:val="both"/>
        <w:rPr>
          <w:rFonts w:ascii="Times New Roman" w:hAnsi="Times New Roman" w:cs="Times New Roman"/>
          <w:sz w:val="21"/>
          <w:szCs w:val="21"/>
          <w:lang w:val="en-US"/>
        </w:rPr>
      </w:pPr>
      <w:r w:rsidRPr="003732F2">
        <w:rPr>
          <w:rFonts w:ascii="Times New Roman" w:hAnsi="Times New Roman" w:cs="Times New Roman"/>
          <w:sz w:val="21"/>
          <w:szCs w:val="21"/>
          <w:lang w:val="en-US"/>
        </w:rPr>
        <w:t xml:space="preserve">Molina, Ezequiel, Ambar Narayan, and Jaime Saavedra. 2012. “Opportunity and Development: Assessing the Effect of Equality of Opportunities in Development Outcomes.” World Bank, Washington, DC. </w:t>
      </w:r>
    </w:p>
    <w:p w14:paraId="5A198057" w14:textId="77777777" w:rsidR="008F611D" w:rsidRPr="003732F2" w:rsidRDefault="008F611D" w:rsidP="008F611D">
      <w:pPr>
        <w:autoSpaceDE w:val="0"/>
        <w:autoSpaceDN w:val="0"/>
        <w:adjustRightInd w:val="0"/>
        <w:spacing w:before="80" w:after="80" w:line="240" w:lineRule="auto"/>
        <w:jc w:val="both"/>
        <w:rPr>
          <w:rFonts w:ascii="Times New Roman" w:hAnsi="Times New Roman" w:cs="Times New Roman"/>
          <w:sz w:val="21"/>
          <w:szCs w:val="21"/>
          <w:lang w:val="en-US"/>
        </w:rPr>
      </w:pPr>
    </w:p>
    <w:p w14:paraId="4902FD52" w14:textId="2ABE4455" w:rsidR="008F611D" w:rsidRDefault="008F611D" w:rsidP="008F611D">
      <w:pPr>
        <w:pStyle w:val="FootnoteText"/>
        <w:spacing w:before="80" w:after="80"/>
        <w:jc w:val="both"/>
        <w:rPr>
          <w:rFonts w:ascii="Times New Roman" w:hAnsi="Times New Roman" w:cs="Times New Roman"/>
          <w:sz w:val="21"/>
          <w:szCs w:val="21"/>
        </w:rPr>
      </w:pPr>
      <w:r w:rsidRPr="003732F2">
        <w:rPr>
          <w:rFonts w:ascii="Times New Roman" w:hAnsi="Times New Roman" w:cs="Times New Roman"/>
          <w:sz w:val="21"/>
          <w:szCs w:val="21"/>
        </w:rPr>
        <w:t>Mumba, E. 2002. “</w:t>
      </w:r>
      <w:r w:rsidRPr="003732F2">
        <w:rPr>
          <w:rFonts w:ascii="Times New Roman" w:hAnsi="Times New Roman" w:cs="Times New Roman"/>
          <w:iCs/>
          <w:sz w:val="21"/>
          <w:szCs w:val="21"/>
        </w:rPr>
        <w:t xml:space="preserve">Non- Formal Education in Zambia: Experiences of the Working Group on Non-Formal Education in Zambia.” </w:t>
      </w:r>
      <w:r w:rsidRPr="003732F2">
        <w:rPr>
          <w:rFonts w:ascii="Times New Roman" w:hAnsi="Times New Roman" w:cs="Times New Roman"/>
          <w:sz w:val="21"/>
          <w:szCs w:val="21"/>
        </w:rPr>
        <w:t>Paper presented at the National Symposium on Non-Formal Education in Moz</w:t>
      </w:r>
      <w:r>
        <w:rPr>
          <w:rFonts w:ascii="Times New Roman" w:hAnsi="Times New Roman" w:cs="Times New Roman"/>
          <w:sz w:val="21"/>
          <w:szCs w:val="21"/>
        </w:rPr>
        <w:t>ambique, Maputo 12-14 June 2002.</w:t>
      </w:r>
    </w:p>
    <w:p w14:paraId="5FED395B" w14:textId="77777777" w:rsidR="008F611D" w:rsidRPr="003732F2" w:rsidRDefault="008F611D" w:rsidP="008F611D">
      <w:pPr>
        <w:pStyle w:val="FootnoteText"/>
        <w:spacing w:before="80" w:after="80"/>
        <w:jc w:val="both"/>
        <w:rPr>
          <w:rFonts w:ascii="Times New Roman" w:hAnsi="Times New Roman" w:cs="Times New Roman"/>
          <w:sz w:val="21"/>
          <w:szCs w:val="21"/>
        </w:rPr>
      </w:pPr>
    </w:p>
    <w:p w14:paraId="12BD0643" w14:textId="00444991" w:rsidR="008F611D" w:rsidRDefault="008F611D" w:rsidP="008F611D">
      <w:pPr>
        <w:autoSpaceDE w:val="0"/>
        <w:autoSpaceDN w:val="0"/>
        <w:adjustRightInd w:val="0"/>
        <w:spacing w:before="80" w:after="80" w:line="240" w:lineRule="auto"/>
        <w:jc w:val="both"/>
        <w:rPr>
          <w:rFonts w:ascii="Times New Roman" w:hAnsi="Times New Roman" w:cs="Times New Roman"/>
          <w:bCs/>
          <w:sz w:val="21"/>
          <w:szCs w:val="21"/>
          <w:lang w:val="en-US"/>
        </w:rPr>
      </w:pPr>
      <w:r w:rsidRPr="003732F2">
        <w:rPr>
          <w:rFonts w:ascii="Times New Roman" w:eastAsia="Times New Roman" w:hAnsi="Times New Roman" w:cs="Times New Roman"/>
          <w:sz w:val="21"/>
          <w:szCs w:val="21"/>
        </w:rPr>
        <w:t xml:space="preserve">National Assembly. 2011. </w:t>
      </w:r>
      <w:r w:rsidRPr="003732F2">
        <w:rPr>
          <w:rFonts w:ascii="Times New Roman" w:hAnsi="Times New Roman" w:cs="Times New Roman"/>
          <w:bCs/>
          <w:sz w:val="21"/>
          <w:szCs w:val="21"/>
          <w:lang w:val="en-US"/>
        </w:rPr>
        <w:t>Report of The Committee on Education, Science and Technology for the Fifth Session of The Tenth National Assembly, Appointed On 22nd September, 2010</w:t>
      </w:r>
      <w:r>
        <w:rPr>
          <w:rFonts w:ascii="Times New Roman" w:hAnsi="Times New Roman" w:cs="Times New Roman"/>
          <w:bCs/>
          <w:sz w:val="21"/>
          <w:szCs w:val="21"/>
          <w:lang w:val="en-US"/>
        </w:rPr>
        <w:t>.</w:t>
      </w:r>
    </w:p>
    <w:p w14:paraId="56C6F6F9" w14:textId="77777777" w:rsidR="008F611D" w:rsidRPr="008F611D" w:rsidRDefault="008F611D" w:rsidP="008F611D"/>
    <w:p w14:paraId="12542B95" w14:textId="29FD8A3F" w:rsidR="008F611D" w:rsidRPr="003732F2" w:rsidRDefault="008F611D" w:rsidP="008F611D">
      <w:pPr>
        <w:spacing w:before="80" w:after="80" w:line="240" w:lineRule="auto"/>
        <w:jc w:val="both"/>
        <w:rPr>
          <w:rFonts w:ascii="Times New Roman" w:hAnsi="Times New Roman" w:cs="Times New Roman"/>
          <w:bCs/>
          <w:sz w:val="21"/>
          <w:szCs w:val="21"/>
        </w:rPr>
      </w:pPr>
      <w:r w:rsidRPr="003732F2">
        <w:rPr>
          <w:rFonts w:ascii="Times New Roman" w:hAnsi="Times New Roman" w:cs="Times New Roman"/>
          <w:bCs/>
          <w:sz w:val="21"/>
          <w:szCs w:val="21"/>
        </w:rPr>
        <w:t>Nsapato, L. 2014. ‘Zambia progress on EFA from CSO perspective,’ ANCEFA Presentation to Stakeholders at Post 2015 Discussion Forum Lusaka, 27 March 2014</w:t>
      </w:r>
      <w:r>
        <w:rPr>
          <w:rFonts w:ascii="Times New Roman" w:hAnsi="Times New Roman" w:cs="Times New Roman"/>
          <w:bCs/>
          <w:sz w:val="21"/>
          <w:szCs w:val="21"/>
        </w:rPr>
        <w:t>.</w:t>
      </w:r>
    </w:p>
    <w:p w14:paraId="4218A182" w14:textId="5D8754DF" w:rsidR="008F611D" w:rsidRDefault="008F611D" w:rsidP="008F611D">
      <w:pPr>
        <w:pStyle w:val="Default"/>
        <w:spacing w:before="80" w:after="80"/>
        <w:jc w:val="both"/>
        <w:rPr>
          <w:bCs/>
          <w:iCs/>
          <w:sz w:val="21"/>
          <w:szCs w:val="21"/>
        </w:rPr>
      </w:pPr>
      <w:r w:rsidRPr="003732F2">
        <w:rPr>
          <w:bCs/>
          <w:iCs/>
          <w:sz w:val="21"/>
          <w:szCs w:val="21"/>
        </w:rPr>
        <w:t xml:space="preserve">Nsapato L and Chikopela M, 2012.  </w:t>
      </w:r>
      <w:r w:rsidRPr="003732F2">
        <w:rPr>
          <w:sz w:val="21"/>
          <w:szCs w:val="21"/>
        </w:rPr>
        <w:t xml:space="preserve">Access to Basic Education  in Community Schools in Zambia. </w:t>
      </w:r>
      <w:r w:rsidRPr="003732F2">
        <w:rPr>
          <w:bCs/>
          <w:iCs/>
          <w:sz w:val="21"/>
          <w:szCs w:val="21"/>
        </w:rPr>
        <w:t>People’s Action Forum (PAF)</w:t>
      </w:r>
      <w:r>
        <w:rPr>
          <w:bCs/>
          <w:iCs/>
          <w:sz w:val="21"/>
          <w:szCs w:val="21"/>
        </w:rPr>
        <w:t>.</w:t>
      </w:r>
    </w:p>
    <w:p w14:paraId="7EAD684D" w14:textId="77777777" w:rsidR="008F611D" w:rsidRPr="003732F2" w:rsidRDefault="008F611D" w:rsidP="008F611D">
      <w:pPr>
        <w:pStyle w:val="Default"/>
        <w:spacing w:before="80" w:after="80"/>
        <w:jc w:val="both"/>
        <w:rPr>
          <w:sz w:val="21"/>
          <w:szCs w:val="21"/>
        </w:rPr>
      </w:pPr>
    </w:p>
    <w:p w14:paraId="67A37B26" w14:textId="43E02F04" w:rsidR="008F611D" w:rsidRPr="003732F2" w:rsidRDefault="008F611D" w:rsidP="008F611D">
      <w:pPr>
        <w:spacing w:before="80" w:after="80" w:line="240" w:lineRule="auto"/>
        <w:jc w:val="both"/>
        <w:rPr>
          <w:rFonts w:ascii="Times New Roman" w:hAnsi="Times New Roman" w:cs="Times New Roman"/>
          <w:sz w:val="21"/>
          <w:szCs w:val="21"/>
          <w:lang w:val="en-US"/>
        </w:rPr>
      </w:pPr>
      <w:r w:rsidRPr="003732F2">
        <w:rPr>
          <w:rFonts w:ascii="Times New Roman" w:hAnsi="Times New Roman" w:cs="Times New Roman"/>
          <w:sz w:val="21"/>
          <w:szCs w:val="21"/>
          <w:lang w:val="en-US"/>
        </w:rPr>
        <w:t>UN Human D</w:t>
      </w:r>
      <w:r w:rsidR="006F4A70">
        <w:rPr>
          <w:rFonts w:ascii="Times New Roman" w:hAnsi="Times New Roman" w:cs="Times New Roman"/>
          <w:sz w:val="21"/>
          <w:szCs w:val="21"/>
          <w:lang w:val="en-US"/>
        </w:rPr>
        <w:t>evelopment Country Reports (2011</w:t>
      </w:r>
      <w:r w:rsidRPr="003732F2">
        <w:rPr>
          <w:rFonts w:ascii="Times New Roman" w:hAnsi="Times New Roman" w:cs="Times New Roman"/>
          <w:sz w:val="21"/>
          <w:szCs w:val="21"/>
          <w:lang w:val="en-US"/>
        </w:rPr>
        <w:t>)</w:t>
      </w:r>
    </w:p>
    <w:p w14:paraId="2BCFD571" w14:textId="77777777" w:rsidR="008F611D" w:rsidRDefault="008F611D" w:rsidP="008F611D">
      <w:pPr>
        <w:spacing w:before="80" w:after="80" w:line="240" w:lineRule="auto"/>
        <w:jc w:val="both"/>
        <w:rPr>
          <w:rFonts w:ascii="Times New Roman" w:hAnsi="Times New Roman" w:cs="Times New Roman"/>
          <w:sz w:val="21"/>
          <w:szCs w:val="21"/>
        </w:rPr>
      </w:pPr>
    </w:p>
    <w:p w14:paraId="05B840DE" w14:textId="77777777" w:rsidR="008F611D" w:rsidRPr="003732F2" w:rsidRDefault="008F611D" w:rsidP="008F611D">
      <w:pPr>
        <w:spacing w:before="80" w:after="80" w:line="240" w:lineRule="auto"/>
        <w:jc w:val="both"/>
        <w:rPr>
          <w:rFonts w:ascii="Times New Roman" w:hAnsi="Times New Roman" w:cs="Times New Roman"/>
          <w:sz w:val="21"/>
          <w:szCs w:val="21"/>
        </w:rPr>
      </w:pPr>
      <w:r w:rsidRPr="003732F2">
        <w:rPr>
          <w:rFonts w:ascii="Times New Roman" w:hAnsi="Times New Roman" w:cs="Times New Roman"/>
          <w:sz w:val="21"/>
          <w:szCs w:val="21"/>
        </w:rPr>
        <w:t>UNDP, 2012. Government of the Republic of Zambia (GRZ)-United Nations Development Programme (UNDP) Governance Programme (2011-2015.</w:t>
      </w:r>
    </w:p>
    <w:p w14:paraId="5F3C0F24" w14:textId="77777777" w:rsidR="008F611D" w:rsidRDefault="008F611D" w:rsidP="008F611D">
      <w:pPr>
        <w:spacing w:before="80" w:after="80" w:line="240" w:lineRule="auto"/>
        <w:jc w:val="both"/>
        <w:rPr>
          <w:rFonts w:ascii="Times New Roman" w:eastAsia="Calibri" w:hAnsi="Times New Roman" w:cs="Times New Roman"/>
          <w:sz w:val="21"/>
          <w:szCs w:val="21"/>
        </w:rPr>
      </w:pPr>
    </w:p>
    <w:p w14:paraId="089D32E2" w14:textId="13676D1A" w:rsidR="008F611D" w:rsidRPr="003732F2" w:rsidRDefault="008F611D" w:rsidP="008F611D">
      <w:pPr>
        <w:spacing w:before="80" w:after="80" w:line="240" w:lineRule="auto"/>
        <w:jc w:val="both"/>
        <w:rPr>
          <w:rFonts w:ascii="Times New Roman" w:eastAsia="Calibri" w:hAnsi="Times New Roman" w:cs="Times New Roman"/>
          <w:sz w:val="21"/>
          <w:szCs w:val="21"/>
        </w:rPr>
      </w:pPr>
      <w:r w:rsidRPr="003732F2">
        <w:rPr>
          <w:rFonts w:ascii="Times New Roman" w:eastAsia="Calibri" w:hAnsi="Times New Roman" w:cs="Times New Roman"/>
          <w:sz w:val="21"/>
          <w:szCs w:val="21"/>
        </w:rPr>
        <w:t xml:space="preserve">UNDP, 2013. </w:t>
      </w:r>
      <w:r w:rsidR="006F4A70" w:rsidRPr="003732F2">
        <w:rPr>
          <w:rFonts w:ascii="Times New Roman" w:eastAsia="Calibri" w:hAnsi="Times New Roman" w:cs="Times New Roman"/>
          <w:sz w:val="21"/>
          <w:szCs w:val="21"/>
        </w:rPr>
        <w:t>Millennium</w:t>
      </w:r>
      <w:r w:rsidRPr="003732F2">
        <w:rPr>
          <w:rFonts w:ascii="Times New Roman" w:eastAsia="Calibri" w:hAnsi="Times New Roman" w:cs="Times New Roman"/>
          <w:sz w:val="21"/>
          <w:szCs w:val="21"/>
        </w:rPr>
        <w:t xml:space="preserve"> Development Goals (MDG) Progress Report for Zambia.</w:t>
      </w:r>
    </w:p>
    <w:p w14:paraId="1E1DAFAC" w14:textId="77777777" w:rsidR="008F611D" w:rsidRDefault="008F611D" w:rsidP="008F611D">
      <w:pPr>
        <w:pStyle w:val="FootnoteText"/>
        <w:spacing w:before="80" w:after="80"/>
        <w:jc w:val="both"/>
        <w:rPr>
          <w:rFonts w:ascii="Times New Roman" w:hAnsi="Times New Roman" w:cs="Times New Roman"/>
          <w:sz w:val="21"/>
          <w:szCs w:val="21"/>
        </w:rPr>
      </w:pPr>
    </w:p>
    <w:p w14:paraId="11B5BE5A" w14:textId="77777777" w:rsidR="008F611D" w:rsidRDefault="008F611D" w:rsidP="008F611D">
      <w:pPr>
        <w:pStyle w:val="FootnoteText"/>
        <w:spacing w:before="80" w:after="80"/>
        <w:jc w:val="both"/>
        <w:rPr>
          <w:rFonts w:ascii="Times New Roman" w:hAnsi="Times New Roman" w:cs="Times New Roman"/>
          <w:sz w:val="21"/>
          <w:szCs w:val="21"/>
        </w:rPr>
      </w:pPr>
      <w:r w:rsidRPr="003732F2">
        <w:rPr>
          <w:rFonts w:ascii="Times New Roman" w:hAnsi="Times New Roman" w:cs="Times New Roman"/>
          <w:sz w:val="21"/>
          <w:szCs w:val="21"/>
        </w:rPr>
        <w:t xml:space="preserve">UNESCO, 2008, </w:t>
      </w:r>
      <w:r w:rsidRPr="003732F2">
        <w:rPr>
          <w:rFonts w:ascii="Times New Roman" w:hAnsi="Times New Roman" w:cs="Times New Roman"/>
          <w:iCs/>
          <w:sz w:val="21"/>
          <w:szCs w:val="21"/>
        </w:rPr>
        <w:t xml:space="preserve">EFA Global Monitoring Report, </w:t>
      </w:r>
      <w:r w:rsidRPr="003732F2">
        <w:rPr>
          <w:rFonts w:ascii="Times New Roman" w:hAnsi="Times New Roman" w:cs="Times New Roman"/>
          <w:sz w:val="21"/>
          <w:szCs w:val="21"/>
        </w:rPr>
        <w:t xml:space="preserve">Oxford: United Nations </w:t>
      </w:r>
    </w:p>
    <w:p w14:paraId="35AF1A1F" w14:textId="77777777" w:rsidR="00225C5A" w:rsidRDefault="00225C5A" w:rsidP="008F611D">
      <w:pPr>
        <w:pStyle w:val="FootnoteText"/>
        <w:spacing w:before="80" w:after="80"/>
        <w:jc w:val="both"/>
        <w:rPr>
          <w:rFonts w:ascii="Times New Roman" w:hAnsi="Times New Roman" w:cs="Times New Roman"/>
          <w:sz w:val="21"/>
          <w:szCs w:val="21"/>
        </w:rPr>
      </w:pPr>
    </w:p>
    <w:p w14:paraId="10CCE246" w14:textId="7484E2AF" w:rsidR="00225C5A" w:rsidRDefault="00225C5A" w:rsidP="00225C5A">
      <w:pPr>
        <w:pStyle w:val="FootnoteText"/>
        <w:spacing w:before="80" w:after="80"/>
        <w:jc w:val="both"/>
        <w:rPr>
          <w:rFonts w:ascii="Times New Roman" w:hAnsi="Times New Roman" w:cs="Times New Roman"/>
          <w:sz w:val="21"/>
          <w:szCs w:val="21"/>
        </w:rPr>
      </w:pPr>
      <w:r>
        <w:rPr>
          <w:rFonts w:ascii="Times New Roman" w:hAnsi="Times New Roman" w:cs="Times New Roman"/>
          <w:sz w:val="21"/>
          <w:szCs w:val="21"/>
        </w:rPr>
        <w:t>UNESCO, 2012</w:t>
      </w:r>
      <w:r w:rsidRPr="003732F2">
        <w:rPr>
          <w:rFonts w:ascii="Times New Roman" w:hAnsi="Times New Roman" w:cs="Times New Roman"/>
          <w:sz w:val="21"/>
          <w:szCs w:val="21"/>
        </w:rPr>
        <w:t xml:space="preserve">, </w:t>
      </w:r>
      <w:r w:rsidRPr="003732F2">
        <w:rPr>
          <w:rFonts w:ascii="Times New Roman" w:hAnsi="Times New Roman" w:cs="Times New Roman"/>
          <w:iCs/>
          <w:sz w:val="21"/>
          <w:szCs w:val="21"/>
        </w:rPr>
        <w:t xml:space="preserve">EFA Global Monitoring Report, </w:t>
      </w:r>
      <w:r w:rsidRPr="003732F2">
        <w:rPr>
          <w:rFonts w:ascii="Times New Roman" w:hAnsi="Times New Roman" w:cs="Times New Roman"/>
          <w:sz w:val="21"/>
          <w:szCs w:val="21"/>
        </w:rPr>
        <w:t xml:space="preserve">Oxford: United Nations </w:t>
      </w:r>
    </w:p>
    <w:p w14:paraId="630D4554" w14:textId="77777777" w:rsidR="00225C5A" w:rsidRDefault="00225C5A" w:rsidP="00225C5A">
      <w:pPr>
        <w:pStyle w:val="FootnoteText"/>
        <w:spacing w:before="80" w:after="80"/>
        <w:jc w:val="both"/>
        <w:rPr>
          <w:rFonts w:ascii="Times New Roman" w:hAnsi="Times New Roman" w:cs="Times New Roman"/>
          <w:sz w:val="21"/>
          <w:szCs w:val="21"/>
        </w:rPr>
      </w:pPr>
    </w:p>
    <w:p w14:paraId="0875D07C" w14:textId="6C325C56" w:rsidR="00225C5A" w:rsidRDefault="00225C5A" w:rsidP="00225C5A">
      <w:pPr>
        <w:pStyle w:val="FootnoteText"/>
        <w:spacing w:before="80" w:after="80"/>
        <w:jc w:val="both"/>
        <w:rPr>
          <w:rFonts w:ascii="Times New Roman" w:hAnsi="Times New Roman" w:cs="Times New Roman"/>
          <w:sz w:val="21"/>
          <w:szCs w:val="21"/>
        </w:rPr>
      </w:pPr>
      <w:r>
        <w:rPr>
          <w:rFonts w:ascii="Times New Roman" w:hAnsi="Times New Roman" w:cs="Times New Roman"/>
          <w:sz w:val="21"/>
          <w:szCs w:val="21"/>
        </w:rPr>
        <w:t>UNESCO, 2013</w:t>
      </w:r>
      <w:r w:rsidRPr="003732F2">
        <w:rPr>
          <w:rFonts w:ascii="Times New Roman" w:hAnsi="Times New Roman" w:cs="Times New Roman"/>
          <w:sz w:val="21"/>
          <w:szCs w:val="21"/>
        </w:rPr>
        <w:t xml:space="preserve">, </w:t>
      </w:r>
      <w:r w:rsidRPr="003732F2">
        <w:rPr>
          <w:rFonts w:ascii="Times New Roman" w:hAnsi="Times New Roman" w:cs="Times New Roman"/>
          <w:iCs/>
          <w:sz w:val="21"/>
          <w:szCs w:val="21"/>
        </w:rPr>
        <w:t xml:space="preserve">EFA Global Monitoring Report, </w:t>
      </w:r>
      <w:r w:rsidRPr="003732F2">
        <w:rPr>
          <w:rFonts w:ascii="Times New Roman" w:hAnsi="Times New Roman" w:cs="Times New Roman"/>
          <w:sz w:val="21"/>
          <w:szCs w:val="21"/>
        </w:rPr>
        <w:t xml:space="preserve">Oxford: United Nations </w:t>
      </w:r>
    </w:p>
    <w:p w14:paraId="0F298B8C" w14:textId="77777777" w:rsidR="00225C5A" w:rsidRDefault="00225C5A" w:rsidP="00225C5A">
      <w:pPr>
        <w:pStyle w:val="FootnoteText"/>
        <w:spacing w:before="80" w:after="80"/>
        <w:jc w:val="both"/>
        <w:rPr>
          <w:rFonts w:ascii="Times New Roman" w:hAnsi="Times New Roman" w:cs="Times New Roman"/>
          <w:sz w:val="21"/>
          <w:szCs w:val="21"/>
        </w:rPr>
      </w:pPr>
    </w:p>
    <w:p w14:paraId="47DB4024" w14:textId="6B46FB28" w:rsidR="00225C5A" w:rsidRPr="003732F2" w:rsidRDefault="00225C5A" w:rsidP="00225C5A">
      <w:pPr>
        <w:pStyle w:val="FootnoteText"/>
        <w:spacing w:before="80" w:after="80"/>
        <w:jc w:val="both"/>
        <w:rPr>
          <w:rFonts w:ascii="Times New Roman" w:hAnsi="Times New Roman" w:cs="Times New Roman"/>
          <w:sz w:val="21"/>
          <w:szCs w:val="21"/>
        </w:rPr>
      </w:pPr>
      <w:r>
        <w:rPr>
          <w:rFonts w:ascii="Times New Roman" w:hAnsi="Times New Roman" w:cs="Times New Roman"/>
          <w:sz w:val="21"/>
          <w:szCs w:val="21"/>
        </w:rPr>
        <w:t>UNESCO, 2014</w:t>
      </w:r>
      <w:r w:rsidRPr="003732F2">
        <w:rPr>
          <w:rFonts w:ascii="Times New Roman" w:hAnsi="Times New Roman" w:cs="Times New Roman"/>
          <w:sz w:val="21"/>
          <w:szCs w:val="21"/>
        </w:rPr>
        <w:t xml:space="preserve">, </w:t>
      </w:r>
      <w:r w:rsidRPr="003732F2">
        <w:rPr>
          <w:rFonts w:ascii="Times New Roman" w:hAnsi="Times New Roman" w:cs="Times New Roman"/>
          <w:iCs/>
          <w:sz w:val="21"/>
          <w:szCs w:val="21"/>
        </w:rPr>
        <w:t xml:space="preserve">EFA Global Monitoring Report, </w:t>
      </w:r>
      <w:r>
        <w:rPr>
          <w:rFonts w:ascii="Times New Roman" w:hAnsi="Times New Roman" w:cs="Times New Roman"/>
          <w:sz w:val="21"/>
          <w:szCs w:val="21"/>
        </w:rPr>
        <w:t xml:space="preserve">Oxford: United Nations </w:t>
      </w:r>
    </w:p>
    <w:p w14:paraId="73E919EB" w14:textId="77777777" w:rsidR="008F611D" w:rsidRDefault="008F611D" w:rsidP="008F611D">
      <w:pPr>
        <w:spacing w:before="80" w:after="80" w:line="240" w:lineRule="auto"/>
        <w:jc w:val="both"/>
        <w:rPr>
          <w:rFonts w:ascii="Times New Roman" w:hAnsi="Times New Roman" w:cs="Times New Roman"/>
          <w:sz w:val="21"/>
          <w:szCs w:val="21"/>
        </w:rPr>
      </w:pPr>
    </w:p>
    <w:p w14:paraId="045449A8" w14:textId="77777777" w:rsidR="008F611D" w:rsidRPr="003732F2" w:rsidRDefault="008F611D" w:rsidP="008F611D">
      <w:pPr>
        <w:spacing w:before="80" w:after="80" w:line="240" w:lineRule="auto"/>
        <w:jc w:val="both"/>
        <w:rPr>
          <w:rFonts w:ascii="Times New Roman" w:hAnsi="Times New Roman" w:cs="Times New Roman"/>
          <w:sz w:val="21"/>
          <w:szCs w:val="21"/>
        </w:rPr>
      </w:pPr>
      <w:r w:rsidRPr="003732F2">
        <w:rPr>
          <w:rFonts w:ascii="Times New Roman" w:hAnsi="Times New Roman" w:cs="Times New Roman"/>
          <w:sz w:val="21"/>
          <w:szCs w:val="21"/>
        </w:rPr>
        <w:t>UNESCO, 2007. The right to education: ten reasons why the Convention against Discrimination in Education is highly significant in today’s world.</w:t>
      </w:r>
    </w:p>
    <w:p w14:paraId="1886D243" w14:textId="77777777" w:rsidR="008F611D" w:rsidRDefault="008F611D" w:rsidP="008F611D">
      <w:pPr>
        <w:spacing w:before="80" w:after="80" w:line="240" w:lineRule="auto"/>
        <w:jc w:val="both"/>
        <w:rPr>
          <w:rFonts w:ascii="Times New Roman" w:hAnsi="Times New Roman" w:cs="Times New Roman"/>
          <w:sz w:val="21"/>
          <w:szCs w:val="21"/>
        </w:rPr>
      </w:pPr>
    </w:p>
    <w:p w14:paraId="309A6608" w14:textId="77777777" w:rsidR="008F611D" w:rsidRPr="003732F2" w:rsidRDefault="008F611D" w:rsidP="008F611D">
      <w:pPr>
        <w:spacing w:before="80" w:after="80" w:line="240" w:lineRule="auto"/>
        <w:jc w:val="both"/>
        <w:rPr>
          <w:rFonts w:ascii="Times New Roman" w:hAnsi="Times New Roman" w:cs="Times New Roman"/>
          <w:sz w:val="21"/>
          <w:szCs w:val="21"/>
        </w:rPr>
      </w:pPr>
      <w:r w:rsidRPr="003732F2">
        <w:rPr>
          <w:rFonts w:ascii="Times New Roman" w:hAnsi="Times New Roman" w:cs="Times New Roman"/>
          <w:sz w:val="21"/>
          <w:szCs w:val="21"/>
        </w:rPr>
        <w:t>UNESCO, 2005. Executive Board Decision 171 EX/28, taken in April 2005</w:t>
      </w:r>
    </w:p>
    <w:p w14:paraId="073D23C5" w14:textId="77777777" w:rsidR="008F611D" w:rsidRDefault="008F611D" w:rsidP="008F611D">
      <w:pPr>
        <w:spacing w:before="80" w:after="80" w:line="240" w:lineRule="auto"/>
        <w:jc w:val="both"/>
        <w:rPr>
          <w:rFonts w:ascii="Times New Roman" w:hAnsi="Times New Roman" w:cs="Times New Roman"/>
          <w:sz w:val="21"/>
          <w:szCs w:val="21"/>
        </w:rPr>
      </w:pPr>
    </w:p>
    <w:p w14:paraId="2E491CFF" w14:textId="77777777" w:rsidR="008F611D" w:rsidRPr="003732F2" w:rsidRDefault="008F611D" w:rsidP="008F611D">
      <w:pPr>
        <w:spacing w:before="80" w:after="80" w:line="240" w:lineRule="auto"/>
        <w:jc w:val="both"/>
        <w:rPr>
          <w:rFonts w:ascii="Times New Roman" w:hAnsi="Times New Roman" w:cs="Times New Roman"/>
          <w:sz w:val="21"/>
          <w:szCs w:val="21"/>
        </w:rPr>
      </w:pPr>
      <w:r w:rsidRPr="003732F2">
        <w:rPr>
          <w:rFonts w:ascii="Times New Roman" w:hAnsi="Times New Roman" w:cs="Times New Roman"/>
          <w:sz w:val="21"/>
          <w:szCs w:val="21"/>
        </w:rPr>
        <w:t>UNESCO &amp; UNICEF, 2007. A human rights-based approach to Education for All: a framework for the realisation of children’s right to education and rights within education.New York: UNICEF.</w:t>
      </w:r>
    </w:p>
    <w:p w14:paraId="4F91DE5C" w14:textId="77777777" w:rsidR="008F611D" w:rsidRDefault="008F611D" w:rsidP="008F611D">
      <w:pPr>
        <w:spacing w:before="80" w:after="80" w:line="240" w:lineRule="auto"/>
        <w:jc w:val="both"/>
        <w:rPr>
          <w:rFonts w:ascii="Times New Roman" w:hAnsi="Times New Roman" w:cs="Times New Roman"/>
          <w:sz w:val="21"/>
          <w:szCs w:val="21"/>
          <w:lang w:val="en-US"/>
        </w:rPr>
      </w:pPr>
    </w:p>
    <w:p w14:paraId="592DFD4A" w14:textId="3BBAE91F" w:rsidR="00225C5A" w:rsidRDefault="00225C5A" w:rsidP="008F611D">
      <w:pPr>
        <w:spacing w:before="80" w:after="80" w:line="240" w:lineRule="auto"/>
        <w:jc w:val="both"/>
        <w:rPr>
          <w:rFonts w:ascii="Times New Roman" w:hAnsi="Times New Roman" w:cs="Times New Roman"/>
          <w:sz w:val="21"/>
          <w:szCs w:val="21"/>
          <w:lang w:val="en-US"/>
        </w:rPr>
      </w:pPr>
      <w:r>
        <w:rPr>
          <w:rFonts w:ascii="Times New Roman" w:hAnsi="Times New Roman" w:cs="Times New Roman"/>
          <w:sz w:val="21"/>
          <w:szCs w:val="21"/>
          <w:lang w:val="en-US"/>
        </w:rPr>
        <w:t>UNICEF, 2014</w:t>
      </w:r>
      <w:r w:rsidRPr="003732F2">
        <w:rPr>
          <w:rFonts w:ascii="Times New Roman" w:hAnsi="Times New Roman" w:cs="Times New Roman"/>
          <w:sz w:val="21"/>
          <w:szCs w:val="21"/>
          <w:lang w:val="en-US"/>
        </w:rPr>
        <w:t xml:space="preserve">. </w:t>
      </w:r>
      <w:r>
        <w:rPr>
          <w:rFonts w:ascii="Times New Roman" w:hAnsi="Times New Roman" w:cs="Times New Roman"/>
          <w:sz w:val="21"/>
          <w:szCs w:val="21"/>
          <w:lang w:val="en-US"/>
        </w:rPr>
        <w:t>Update on the Situation Analysis of Children and Women in Zambia, Lusaka: UNICEF</w:t>
      </w:r>
    </w:p>
    <w:p w14:paraId="7DAC615A" w14:textId="77777777" w:rsidR="00225C5A" w:rsidRDefault="00225C5A" w:rsidP="008F611D">
      <w:pPr>
        <w:spacing w:before="80" w:after="80" w:line="240" w:lineRule="auto"/>
        <w:jc w:val="both"/>
        <w:rPr>
          <w:rFonts w:ascii="Times New Roman" w:hAnsi="Times New Roman" w:cs="Times New Roman"/>
          <w:sz w:val="21"/>
          <w:szCs w:val="21"/>
          <w:lang w:val="en-US"/>
        </w:rPr>
      </w:pPr>
    </w:p>
    <w:p w14:paraId="2746B133" w14:textId="11082F6A" w:rsidR="00225C5A" w:rsidRDefault="00225C5A" w:rsidP="008F611D">
      <w:pPr>
        <w:spacing w:before="80" w:after="80" w:line="240" w:lineRule="auto"/>
        <w:jc w:val="both"/>
        <w:rPr>
          <w:rFonts w:ascii="Times New Roman" w:hAnsi="Times New Roman" w:cs="Times New Roman"/>
          <w:sz w:val="21"/>
          <w:szCs w:val="21"/>
          <w:lang w:val="en-US"/>
        </w:rPr>
      </w:pPr>
      <w:r>
        <w:rPr>
          <w:rFonts w:ascii="Times New Roman" w:hAnsi="Times New Roman" w:cs="Times New Roman"/>
          <w:sz w:val="21"/>
          <w:szCs w:val="21"/>
          <w:lang w:val="en-US"/>
        </w:rPr>
        <w:t>UNICEF, 2013</w:t>
      </w:r>
      <w:r w:rsidRPr="003732F2">
        <w:rPr>
          <w:rFonts w:ascii="Times New Roman" w:hAnsi="Times New Roman" w:cs="Times New Roman"/>
          <w:sz w:val="21"/>
          <w:szCs w:val="21"/>
          <w:lang w:val="en-US"/>
        </w:rPr>
        <w:t xml:space="preserve">. </w:t>
      </w:r>
      <w:r>
        <w:rPr>
          <w:rFonts w:ascii="Times New Roman" w:hAnsi="Times New Roman" w:cs="Times New Roman"/>
          <w:sz w:val="21"/>
          <w:szCs w:val="21"/>
          <w:lang w:val="en-US"/>
        </w:rPr>
        <w:t>Update on the Situation Analysis of Children and Women in Zambia, Lusaka: UNICEF.</w:t>
      </w:r>
    </w:p>
    <w:p w14:paraId="58B86D27" w14:textId="77777777" w:rsidR="00225C5A" w:rsidRDefault="00225C5A" w:rsidP="008F611D">
      <w:pPr>
        <w:spacing w:before="80" w:after="80" w:line="240" w:lineRule="auto"/>
        <w:jc w:val="both"/>
        <w:rPr>
          <w:rFonts w:ascii="Times New Roman" w:hAnsi="Times New Roman" w:cs="Times New Roman"/>
          <w:sz w:val="21"/>
          <w:szCs w:val="21"/>
          <w:lang w:val="en-US"/>
        </w:rPr>
      </w:pPr>
    </w:p>
    <w:p w14:paraId="36405FEA" w14:textId="2AB41247" w:rsidR="00225C5A" w:rsidRDefault="00225C5A" w:rsidP="008F611D">
      <w:pPr>
        <w:spacing w:before="80" w:after="80" w:line="240" w:lineRule="auto"/>
        <w:jc w:val="both"/>
        <w:rPr>
          <w:rFonts w:ascii="Times New Roman" w:hAnsi="Times New Roman" w:cs="Times New Roman"/>
          <w:sz w:val="21"/>
          <w:szCs w:val="21"/>
          <w:lang w:val="en-US"/>
        </w:rPr>
      </w:pPr>
      <w:r>
        <w:rPr>
          <w:rFonts w:ascii="Times New Roman" w:hAnsi="Times New Roman" w:cs="Times New Roman"/>
          <w:sz w:val="21"/>
          <w:szCs w:val="21"/>
          <w:lang w:val="en-US"/>
        </w:rPr>
        <w:t>UNICEF, 2012</w:t>
      </w:r>
      <w:r w:rsidRPr="003732F2">
        <w:rPr>
          <w:rFonts w:ascii="Times New Roman" w:hAnsi="Times New Roman" w:cs="Times New Roman"/>
          <w:sz w:val="21"/>
          <w:szCs w:val="21"/>
          <w:lang w:val="en-US"/>
        </w:rPr>
        <w:t xml:space="preserve">. </w:t>
      </w:r>
      <w:r>
        <w:rPr>
          <w:rFonts w:ascii="Times New Roman" w:hAnsi="Times New Roman" w:cs="Times New Roman"/>
          <w:sz w:val="21"/>
          <w:szCs w:val="21"/>
          <w:lang w:val="en-US"/>
        </w:rPr>
        <w:t>The Situation Analysis of Children and Women in Zambia, Lusaka: UNICEF</w:t>
      </w:r>
    </w:p>
    <w:p w14:paraId="5E08AC45" w14:textId="77777777" w:rsidR="00225C5A" w:rsidRDefault="00225C5A" w:rsidP="008F611D">
      <w:pPr>
        <w:spacing w:before="80" w:after="80" w:line="240" w:lineRule="auto"/>
        <w:jc w:val="both"/>
        <w:rPr>
          <w:rFonts w:ascii="Times New Roman" w:hAnsi="Times New Roman" w:cs="Times New Roman"/>
          <w:sz w:val="21"/>
          <w:szCs w:val="21"/>
          <w:lang w:val="en-US"/>
        </w:rPr>
      </w:pPr>
    </w:p>
    <w:p w14:paraId="45EA1F2E" w14:textId="77777777" w:rsidR="008F611D" w:rsidRPr="003732F2" w:rsidRDefault="008F611D" w:rsidP="008F611D">
      <w:pPr>
        <w:spacing w:before="80" w:after="80" w:line="240" w:lineRule="auto"/>
        <w:jc w:val="both"/>
        <w:rPr>
          <w:rFonts w:ascii="Times New Roman" w:hAnsi="Times New Roman" w:cs="Times New Roman"/>
          <w:sz w:val="21"/>
          <w:szCs w:val="21"/>
          <w:lang w:val="en-US"/>
        </w:rPr>
      </w:pPr>
      <w:r w:rsidRPr="003732F2">
        <w:rPr>
          <w:rFonts w:ascii="Times New Roman" w:hAnsi="Times New Roman" w:cs="Times New Roman"/>
          <w:sz w:val="21"/>
          <w:szCs w:val="21"/>
          <w:lang w:val="en-US"/>
        </w:rPr>
        <w:t>UNICEF, 2012. Annual Report for Zambia, ESARO</w:t>
      </w:r>
    </w:p>
    <w:p w14:paraId="509454AA" w14:textId="77777777" w:rsidR="008F611D" w:rsidRDefault="008F611D" w:rsidP="008F611D">
      <w:pPr>
        <w:spacing w:before="80" w:after="80" w:line="240" w:lineRule="auto"/>
        <w:jc w:val="both"/>
        <w:rPr>
          <w:rFonts w:ascii="Times New Roman" w:hAnsi="Times New Roman" w:cs="Times New Roman"/>
          <w:sz w:val="21"/>
          <w:szCs w:val="21"/>
        </w:rPr>
      </w:pPr>
    </w:p>
    <w:p w14:paraId="39FF3AB4" w14:textId="77777777" w:rsidR="008F611D" w:rsidRPr="003732F2" w:rsidRDefault="008F611D" w:rsidP="008F611D">
      <w:pPr>
        <w:spacing w:before="80" w:after="80" w:line="240" w:lineRule="auto"/>
        <w:jc w:val="both"/>
        <w:rPr>
          <w:rFonts w:ascii="Times New Roman" w:hAnsi="Times New Roman" w:cs="Times New Roman"/>
          <w:sz w:val="21"/>
          <w:szCs w:val="21"/>
        </w:rPr>
      </w:pPr>
      <w:r w:rsidRPr="003732F2">
        <w:rPr>
          <w:rFonts w:ascii="Times New Roman" w:hAnsi="Times New Roman" w:cs="Times New Roman"/>
          <w:sz w:val="21"/>
          <w:szCs w:val="21"/>
        </w:rPr>
        <w:t>World Bank, 2012. Zambia Economic Brief: recent economic developments and the state of basic human opportunities for children. The IBRD: Washington, DC.</w:t>
      </w:r>
    </w:p>
    <w:p w14:paraId="6580E72E" w14:textId="77777777" w:rsidR="008F611D" w:rsidRDefault="008F611D" w:rsidP="008F611D">
      <w:pPr>
        <w:autoSpaceDE w:val="0"/>
        <w:autoSpaceDN w:val="0"/>
        <w:adjustRightInd w:val="0"/>
        <w:spacing w:before="80" w:after="80" w:line="240" w:lineRule="auto"/>
        <w:jc w:val="both"/>
        <w:rPr>
          <w:rFonts w:ascii="Times New Roman" w:hAnsi="Times New Roman" w:cs="Times New Roman"/>
          <w:sz w:val="21"/>
          <w:szCs w:val="21"/>
          <w:lang w:val="en-US"/>
        </w:rPr>
      </w:pPr>
    </w:p>
    <w:p w14:paraId="0F7BD306" w14:textId="77777777" w:rsidR="008F611D" w:rsidRPr="003732F2" w:rsidRDefault="008F611D" w:rsidP="008F611D">
      <w:pPr>
        <w:autoSpaceDE w:val="0"/>
        <w:autoSpaceDN w:val="0"/>
        <w:adjustRightInd w:val="0"/>
        <w:spacing w:before="80" w:after="80" w:line="240" w:lineRule="auto"/>
        <w:jc w:val="both"/>
        <w:rPr>
          <w:rFonts w:ascii="Times New Roman" w:hAnsi="Times New Roman" w:cs="Times New Roman"/>
          <w:bCs/>
          <w:sz w:val="21"/>
          <w:szCs w:val="21"/>
          <w:lang w:val="en-US"/>
        </w:rPr>
      </w:pPr>
      <w:r w:rsidRPr="003732F2">
        <w:rPr>
          <w:rFonts w:ascii="Times New Roman" w:hAnsi="Times New Roman" w:cs="Times New Roman"/>
          <w:sz w:val="21"/>
          <w:szCs w:val="21"/>
          <w:lang w:val="en-US"/>
        </w:rPr>
        <w:t xml:space="preserve">World Bank 2012. </w:t>
      </w:r>
      <w:r w:rsidRPr="003732F2">
        <w:rPr>
          <w:rFonts w:ascii="Times New Roman" w:hAnsi="Times New Roman" w:cs="Times New Roman"/>
          <w:bCs/>
          <w:sz w:val="21"/>
          <w:szCs w:val="21"/>
          <w:lang w:val="en-US"/>
        </w:rPr>
        <w:t>Recent Economic Developments and the State of Basic Human Opportunities for Children. An Economic Brief on Zambia</w:t>
      </w:r>
    </w:p>
    <w:p w14:paraId="1D31BF5B" w14:textId="77777777" w:rsidR="008F611D" w:rsidRDefault="008F611D" w:rsidP="008F611D">
      <w:pPr>
        <w:autoSpaceDE w:val="0"/>
        <w:autoSpaceDN w:val="0"/>
        <w:adjustRightInd w:val="0"/>
        <w:spacing w:before="80" w:after="80" w:line="240" w:lineRule="auto"/>
        <w:jc w:val="both"/>
        <w:rPr>
          <w:rFonts w:ascii="Times New Roman" w:hAnsi="Times New Roman" w:cs="Times New Roman"/>
          <w:bCs/>
          <w:sz w:val="21"/>
          <w:szCs w:val="21"/>
          <w:lang w:val="en-US"/>
        </w:rPr>
      </w:pPr>
    </w:p>
    <w:p w14:paraId="1C5B5989" w14:textId="77777777" w:rsidR="008F611D" w:rsidRPr="003732F2" w:rsidRDefault="008F611D" w:rsidP="008F611D">
      <w:pPr>
        <w:autoSpaceDE w:val="0"/>
        <w:autoSpaceDN w:val="0"/>
        <w:adjustRightInd w:val="0"/>
        <w:spacing w:before="80" w:after="80" w:line="240" w:lineRule="auto"/>
        <w:jc w:val="both"/>
        <w:rPr>
          <w:rFonts w:ascii="Times New Roman" w:hAnsi="Times New Roman" w:cs="Times New Roman"/>
          <w:bCs/>
          <w:sz w:val="21"/>
          <w:szCs w:val="21"/>
          <w:lang w:val="en-US"/>
        </w:rPr>
      </w:pPr>
      <w:r w:rsidRPr="003732F2">
        <w:rPr>
          <w:rFonts w:ascii="Times New Roman" w:hAnsi="Times New Roman" w:cs="Times New Roman"/>
          <w:bCs/>
          <w:sz w:val="21"/>
          <w:szCs w:val="21"/>
          <w:lang w:val="en-US"/>
        </w:rPr>
        <w:t>World Bank, 2011. Project Performance Assessment Report Republic of Zambia. Technical Education Vocational and Entrepreneurship Training Development Support Program (CR. 3521-ZA)</w:t>
      </w:r>
    </w:p>
    <w:p w14:paraId="2EA5EE52" w14:textId="77777777" w:rsidR="001C5851" w:rsidRDefault="001C5851" w:rsidP="008F611D">
      <w:pPr>
        <w:autoSpaceDE w:val="0"/>
        <w:autoSpaceDN w:val="0"/>
        <w:adjustRightInd w:val="0"/>
        <w:spacing w:before="80" w:after="80" w:line="240" w:lineRule="auto"/>
        <w:jc w:val="both"/>
        <w:rPr>
          <w:rFonts w:ascii="Times New Roman" w:hAnsi="Times New Roman" w:cs="Times New Roman"/>
          <w:sz w:val="21"/>
          <w:szCs w:val="21"/>
          <w:lang w:val="en-US"/>
        </w:rPr>
      </w:pPr>
    </w:p>
    <w:p w14:paraId="778693C4" w14:textId="77777777" w:rsidR="008F611D" w:rsidRPr="003732F2" w:rsidRDefault="008F611D" w:rsidP="008F611D">
      <w:pPr>
        <w:autoSpaceDE w:val="0"/>
        <w:autoSpaceDN w:val="0"/>
        <w:adjustRightInd w:val="0"/>
        <w:spacing w:before="80" w:after="80" w:line="240" w:lineRule="auto"/>
        <w:jc w:val="both"/>
        <w:rPr>
          <w:rFonts w:ascii="Times New Roman" w:hAnsi="Times New Roman" w:cs="Times New Roman"/>
          <w:sz w:val="21"/>
          <w:szCs w:val="21"/>
          <w:lang w:val="en-US"/>
        </w:rPr>
      </w:pPr>
      <w:r w:rsidRPr="003732F2">
        <w:rPr>
          <w:rFonts w:ascii="Times New Roman" w:hAnsi="Times New Roman" w:cs="Times New Roman"/>
          <w:sz w:val="21"/>
          <w:szCs w:val="21"/>
          <w:lang w:val="en-US"/>
        </w:rPr>
        <w:t>World Bank, 2008. Africa Infrastructure Country Diagnosis.</w:t>
      </w:r>
    </w:p>
    <w:p w14:paraId="2EB4810E" w14:textId="77777777" w:rsidR="001C5851" w:rsidRDefault="001C5851" w:rsidP="008F611D">
      <w:pPr>
        <w:autoSpaceDE w:val="0"/>
        <w:autoSpaceDN w:val="0"/>
        <w:adjustRightInd w:val="0"/>
        <w:spacing w:before="80" w:after="80" w:line="240" w:lineRule="auto"/>
        <w:jc w:val="both"/>
        <w:rPr>
          <w:rFonts w:ascii="Times New Roman" w:hAnsi="Times New Roman" w:cs="Times New Roman"/>
          <w:sz w:val="21"/>
          <w:szCs w:val="21"/>
        </w:rPr>
      </w:pPr>
    </w:p>
    <w:p w14:paraId="49A6413D" w14:textId="075816DC" w:rsidR="001C5851" w:rsidRDefault="001C5851" w:rsidP="008F611D">
      <w:pPr>
        <w:autoSpaceDE w:val="0"/>
        <w:autoSpaceDN w:val="0"/>
        <w:adjustRightInd w:val="0"/>
        <w:spacing w:before="80" w:after="80" w:line="240" w:lineRule="auto"/>
        <w:jc w:val="both"/>
        <w:rPr>
          <w:rFonts w:ascii="Times New Roman" w:hAnsi="Times New Roman" w:cs="Times New Roman"/>
          <w:sz w:val="21"/>
          <w:szCs w:val="21"/>
        </w:rPr>
      </w:pPr>
      <w:r>
        <w:rPr>
          <w:rFonts w:ascii="Times New Roman" w:hAnsi="Times New Roman" w:cs="Times New Roman"/>
          <w:sz w:val="21"/>
          <w:szCs w:val="21"/>
        </w:rPr>
        <w:t>ZANEC, 2015. Concept Note. National Research on Education Gaps and Domestic Financing in Zambia.</w:t>
      </w:r>
    </w:p>
    <w:p w14:paraId="0A21911D" w14:textId="77777777" w:rsidR="001C5851" w:rsidRDefault="001C5851" w:rsidP="008F611D">
      <w:pPr>
        <w:autoSpaceDE w:val="0"/>
        <w:autoSpaceDN w:val="0"/>
        <w:adjustRightInd w:val="0"/>
        <w:spacing w:before="80" w:after="80" w:line="240" w:lineRule="auto"/>
        <w:jc w:val="both"/>
        <w:rPr>
          <w:rFonts w:ascii="Times New Roman" w:hAnsi="Times New Roman" w:cs="Times New Roman"/>
          <w:sz w:val="21"/>
          <w:szCs w:val="21"/>
        </w:rPr>
      </w:pPr>
    </w:p>
    <w:p w14:paraId="00DFAC7C" w14:textId="77777777" w:rsidR="008F611D" w:rsidRDefault="008F611D" w:rsidP="008F611D">
      <w:pPr>
        <w:autoSpaceDE w:val="0"/>
        <w:autoSpaceDN w:val="0"/>
        <w:adjustRightInd w:val="0"/>
        <w:spacing w:before="80" w:after="80" w:line="240" w:lineRule="auto"/>
        <w:jc w:val="both"/>
        <w:rPr>
          <w:rFonts w:ascii="Times New Roman" w:hAnsi="Times New Roman" w:cs="Times New Roman"/>
          <w:sz w:val="21"/>
          <w:szCs w:val="21"/>
        </w:rPr>
      </w:pPr>
      <w:r w:rsidRPr="003732F2">
        <w:rPr>
          <w:rFonts w:ascii="Times New Roman" w:hAnsi="Times New Roman" w:cs="Times New Roman"/>
          <w:sz w:val="21"/>
          <w:szCs w:val="21"/>
        </w:rPr>
        <w:t xml:space="preserve">ZANEC, 2014. Position Paper on Accelerating Progress Towards Education for All. </w:t>
      </w:r>
    </w:p>
    <w:p w14:paraId="01D12D5B" w14:textId="77777777" w:rsidR="006F4A70" w:rsidRDefault="006F4A70" w:rsidP="008F611D">
      <w:pPr>
        <w:autoSpaceDE w:val="0"/>
        <w:autoSpaceDN w:val="0"/>
        <w:adjustRightInd w:val="0"/>
        <w:spacing w:before="80" w:after="80" w:line="240" w:lineRule="auto"/>
        <w:jc w:val="both"/>
        <w:rPr>
          <w:rFonts w:ascii="Times New Roman" w:hAnsi="Times New Roman" w:cs="Times New Roman"/>
          <w:sz w:val="21"/>
          <w:szCs w:val="21"/>
        </w:rPr>
      </w:pPr>
    </w:p>
    <w:p w14:paraId="50C5A44B" w14:textId="493CBFD8" w:rsidR="006F4A70" w:rsidRPr="003732F2" w:rsidRDefault="006F4A70" w:rsidP="008F611D">
      <w:pPr>
        <w:autoSpaceDE w:val="0"/>
        <w:autoSpaceDN w:val="0"/>
        <w:adjustRightInd w:val="0"/>
        <w:spacing w:before="80" w:after="80" w:line="240" w:lineRule="auto"/>
        <w:jc w:val="both"/>
        <w:rPr>
          <w:rFonts w:ascii="Times New Roman" w:hAnsi="Times New Roman" w:cs="Times New Roman"/>
          <w:sz w:val="21"/>
          <w:szCs w:val="21"/>
        </w:rPr>
      </w:pPr>
      <w:r>
        <w:rPr>
          <w:rFonts w:ascii="Times New Roman" w:hAnsi="Times New Roman" w:cs="Times New Roman"/>
          <w:sz w:val="21"/>
          <w:szCs w:val="21"/>
        </w:rPr>
        <w:t>ZANEC, 2015. Education Financing in Zambia.</w:t>
      </w:r>
    </w:p>
    <w:p w14:paraId="2A0C4631" w14:textId="77777777" w:rsidR="008F611D" w:rsidRDefault="008F611D" w:rsidP="008F611D">
      <w:pPr>
        <w:shd w:val="clear" w:color="auto" w:fill="FFFFFF" w:themeFill="background1"/>
        <w:spacing w:before="80" w:after="80" w:line="240" w:lineRule="auto"/>
        <w:jc w:val="both"/>
        <w:rPr>
          <w:rFonts w:ascii="Times New Roman" w:eastAsia="Calibri" w:hAnsi="Times New Roman" w:cs="Times New Roman"/>
          <w:sz w:val="21"/>
          <w:szCs w:val="21"/>
        </w:rPr>
      </w:pPr>
    </w:p>
    <w:p w14:paraId="1FE8C247" w14:textId="09D32B29" w:rsidR="008F611D" w:rsidRPr="003732F2" w:rsidRDefault="001C5851" w:rsidP="008F611D">
      <w:pPr>
        <w:shd w:val="clear" w:color="auto" w:fill="FFFFFF" w:themeFill="background1"/>
        <w:spacing w:before="80" w:after="80" w:line="240" w:lineRule="auto"/>
        <w:jc w:val="both"/>
        <w:rPr>
          <w:rFonts w:ascii="Times New Roman" w:hAnsi="Times New Roman" w:cs="Times New Roman"/>
          <w:sz w:val="21"/>
          <w:szCs w:val="21"/>
        </w:rPr>
      </w:pPr>
      <w:r>
        <w:rPr>
          <w:rFonts w:ascii="Times New Roman" w:eastAsia="Calibri" w:hAnsi="Times New Roman" w:cs="Times New Roman"/>
          <w:sz w:val="21"/>
          <w:szCs w:val="21"/>
        </w:rPr>
        <w:t>ZANEC, 2013</w:t>
      </w:r>
      <w:r w:rsidR="008F611D" w:rsidRPr="003732F2">
        <w:rPr>
          <w:rFonts w:ascii="Times New Roman" w:eastAsia="Calibri" w:hAnsi="Times New Roman" w:cs="Times New Roman"/>
          <w:sz w:val="21"/>
          <w:szCs w:val="21"/>
        </w:rPr>
        <w:t xml:space="preserve">. </w:t>
      </w:r>
      <w:r w:rsidR="008F611D" w:rsidRPr="003732F2">
        <w:rPr>
          <w:rFonts w:ascii="Times New Roman" w:hAnsi="Times New Roman" w:cs="Times New Roman"/>
          <w:sz w:val="21"/>
          <w:szCs w:val="21"/>
        </w:rPr>
        <w:t>Parliamentary Paper on the Education Budget Estimates for the 2014 Financial Year Presented on 28</w:t>
      </w:r>
      <w:r w:rsidR="008F611D" w:rsidRPr="003732F2">
        <w:rPr>
          <w:rFonts w:ascii="Times New Roman" w:hAnsi="Times New Roman" w:cs="Times New Roman"/>
          <w:sz w:val="21"/>
          <w:szCs w:val="21"/>
          <w:vertAlign w:val="superscript"/>
        </w:rPr>
        <w:t>th</w:t>
      </w:r>
      <w:r w:rsidR="008F611D" w:rsidRPr="003732F2">
        <w:rPr>
          <w:rFonts w:ascii="Times New Roman" w:hAnsi="Times New Roman" w:cs="Times New Roman"/>
          <w:sz w:val="21"/>
          <w:szCs w:val="21"/>
        </w:rPr>
        <w:t xml:space="preserve"> October 2013  to the </w:t>
      </w:r>
      <w:r w:rsidR="006F4A70">
        <w:rPr>
          <w:rFonts w:ascii="Times New Roman" w:hAnsi="Times New Roman" w:cs="Times New Roman"/>
          <w:sz w:val="21"/>
          <w:szCs w:val="21"/>
        </w:rPr>
        <w:t>Expanded Committee on Estimates.</w:t>
      </w:r>
    </w:p>
    <w:p w14:paraId="33ED8651" w14:textId="77777777" w:rsidR="008F611D" w:rsidRDefault="008F611D" w:rsidP="008F611D">
      <w:pPr>
        <w:spacing w:before="80" w:after="80" w:line="240" w:lineRule="auto"/>
        <w:jc w:val="both"/>
        <w:rPr>
          <w:rFonts w:ascii="Times New Roman" w:hAnsi="Times New Roman" w:cs="Times New Roman"/>
          <w:sz w:val="21"/>
          <w:szCs w:val="21"/>
          <w:lang w:val="en-US"/>
        </w:rPr>
      </w:pPr>
    </w:p>
    <w:p w14:paraId="3F71DE3C" w14:textId="77777777" w:rsidR="008F611D" w:rsidRPr="003732F2" w:rsidRDefault="008F611D" w:rsidP="008F611D">
      <w:pPr>
        <w:spacing w:before="80" w:after="80" w:line="240" w:lineRule="auto"/>
        <w:jc w:val="both"/>
        <w:rPr>
          <w:rFonts w:ascii="Times New Roman" w:eastAsia="Calibri" w:hAnsi="Times New Roman" w:cs="Times New Roman"/>
          <w:sz w:val="21"/>
          <w:szCs w:val="21"/>
        </w:rPr>
      </w:pPr>
      <w:r w:rsidRPr="003732F2">
        <w:rPr>
          <w:rFonts w:ascii="Times New Roman" w:hAnsi="Times New Roman" w:cs="Times New Roman"/>
          <w:sz w:val="21"/>
          <w:szCs w:val="21"/>
          <w:lang w:val="en-US"/>
        </w:rPr>
        <w:t xml:space="preserve">ZANEC, 2013. </w:t>
      </w:r>
      <w:r w:rsidRPr="003732F2">
        <w:rPr>
          <w:rFonts w:ascii="Times New Roman" w:eastAsia="Calibri" w:hAnsi="Times New Roman" w:cs="Times New Roman"/>
          <w:sz w:val="21"/>
          <w:szCs w:val="21"/>
        </w:rPr>
        <w:t>Parliamentary Paper to The Committee on</w:t>
      </w:r>
      <w:r w:rsidRPr="003732F2">
        <w:rPr>
          <w:rFonts w:ascii="Times New Roman" w:eastAsia="Calibri" w:hAnsi="Times New Roman" w:cs="Times New Roman"/>
          <w:b/>
          <w:sz w:val="21"/>
          <w:szCs w:val="21"/>
        </w:rPr>
        <w:t xml:space="preserve"> </w:t>
      </w:r>
      <w:r w:rsidRPr="003732F2">
        <w:rPr>
          <w:rFonts w:ascii="Times New Roman" w:eastAsia="Calibri" w:hAnsi="Times New Roman" w:cs="Times New Roman"/>
          <w:sz w:val="21"/>
          <w:szCs w:val="21"/>
        </w:rPr>
        <w:t>Education Science and Technology on the ramifications of the change in the structure of the Education System from Basic and High School to Primary and Secondary Education.</w:t>
      </w:r>
    </w:p>
    <w:p w14:paraId="3A4693F6" w14:textId="77777777" w:rsidR="008F611D" w:rsidRDefault="008F611D" w:rsidP="008F611D">
      <w:pPr>
        <w:shd w:val="clear" w:color="auto" w:fill="FFFFFF" w:themeFill="background1"/>
        <w:spacing w:before="80" w:after="80" w:line="240" w:lineRule="auto"/>
        <w:jc w:val="both"/>
        <w:rPr>
          <w:rFonts w:ascii="Times New Roman" w:hAnsi="Times New Roman" w:cs="Times New Roman"/>
          <w:bCs/>
          <w:sz w:val="21"/>
          <w:szCs w:val="21"/>
          <w:lang w:val="en-US"/>
        </w:rPr>
      </w:pPr>
    </w:p>
    <w:p w14:paraId="0E676ADF" w14:textId="77777777" w:rsidR="008F611D" w:rsidRPr="003732F2" w:rsidRDefault="008F611D" w:rsidP="008F611D">
      <w:pPr>
        <w:shd w:val="clear" w:color="auto" w:fill="FFFFFF" w:themeFill="background1"/>
        <w:spacing w:before="80" w:after="80" w:line="240" w:lineRule="auto"/>
        <w:jc w:val="both"/>
        <w:rPr>
          <w:rFonts w:ascii="Times New Roman" w:eastAsia="Calibri" w:hAnsi="Times New Roman" w:cs="Times New Roman"/>
          <w:sz w:val="21"/>
          <w:szCs w:val="21"/>
        </w:rPr>
      </w:pPr>
      <w:r w:rsidRPr="003732F2">
        <w:rPr>
          <w:rFonts w:ascii="Times New Roman" w:hAnsi="Times New Roman" w:cs="Times New Roman"/>
          <w:bCs/>
          <w:sz w:val="21"/>
          <w:szCs w:val="21"/>
          <w:lang w:val="en-US"/>
        </w:rPr>
        <w:t xml:space="preserve">ZANEC, Undated. </w:t>
      </w:r>
      <w:r w:rsidRPr="003732F2">
        <w:rPr>
          <w:rFonts w:ascii="Times New Roman" w:eastAsia="Calibri" w:hAnsi="Times New Roman" w:cs="Times New Roman"/>
          <w:sz w:val="21"/>
          <w:szCs w:val="21"/>
        </w:rPr>
        <w:t xml:space="preserve">Parliamentary Paper to the Committee on Education Science and Technology on the Ramifications of the Change in the Structure of the Education System from Basic and High School to </w:t>
      </w:r>
      <w:r>
        <w:rPr>
          <w:rFonts w:ascii="Times New Roman" w:eastAsia="Calibri" w:hAnsi="Times New Roman" w:cs="Times New Roman"/>
          <w:sz w:val="21"/>
          <w:szCs w:val="21"/>
        </w:rPr>
        <w:t>Primary and Secondary Education</w:t>
      </w:r>
    </w:p>
    <w:p w14:paraId="714CAA90" w14:textId="77777777" w:rsidR="008F611D" w:rsidRPr="008F611D" w:rsidRDefault="008F611D" w:rsidP="008F611D"/>
    <w:p w14:paraId="4957156B" w14:textId="77777777" w:rsidR="00F14581" w:rsidRDefault="00F14581" w:rsidP="00A60BD4">
      <w:pPr>
        <w:spacing w:line="360" w:lineRule="auto"/>
      </w:pPr>
    </w:p>
    <w:sectPr w:rsidR="00F14581" w:rsidSect="00E66410">
      <w:footerReference w:type="default" r:id="rId2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13E22E" w14:textId="77777777" w:rsidR="0032666D" w:rsidRDefault="0032666D" w:rsidP="001120A5">
      <w:pPr>
        <w:spacing w:after="0" w:line="240" w:lineRule="auto"/>
      </w:pPr>
      <w:r>
        <w:separator/>
      </w:r>
    </w:p>
  </w:endnote>
  <w:endnote w:type="continuationSeparator" w:id="0">
    <w:p w14:paraId="57357638" w14:textId="77777777" w:rsidR="0032666D" w:rsidRDefault="0032666D" w:rsidP="00112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RotisSansSerif">
    <w:panose1 w:val="00000000000000000000"/>
    <w:charset w:val="00"/>
    <w:family w:val="swiss"/>
    <w:notTrueType/>
    <w:pitch w:val="default"/>
    <w:sig w:usb0="00000003" w:usb1="00000000" w:usb2="00000000" w:usb3="00000000" w:csb0="00000001" w:csb1="00000000"/>
  </w:font>
  <w:font w:name="Rockwell Nova Light">
    <w:charset w:val="00"/>
    <w:family w:val="roman"/>
    <w:pitch w:val="variable"/>
    <w:sig w:usb0="8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Rockwell Light">
    <w:altName w:val="Rockwell Light"/>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MyriadPro-Regular">
    <w:altName w:val="Arial Unicode MS"/>
    <w:panose1 w:val="00000000000000000000"/>
    <w:charset w:val="80"/>
    <w:family w:val="swiss"/>
    <w:notTrueType/>
    <w:pitch w:val="default"/>
    <w:sig w:usb0="00000003" w:usb1="08070000" w:usb2="00000010" w:usb3="00000000" w:csb0="00020001" w:csb1="00000000"/>
  </w:font>
  <w:font w:name="TimesNewRomanPSMT">
    <w:panose1 w:val="00000000000000000000"/>
    <w:charset w:val="00"/>
    <w:family w:val="swiss"/>
    <w:notTrueType/>
    <w:pitch w:val="default"/>
    <w:sig w:usb0="00000003" w:usb1="00000000" w:usb2="00000000" w:usb3="00000000" w:csb0="00000001" w:csb1="00000000"/>
  </w:font>
  <w:font w:name="TimesNewRomanPSMT,BoldItalic">
    <w:panose1 w:val="00000000000000000000"/>
    <w:charset w:val="00"/>
    <w:family w:val="roman"/>
    <w:notTrueType/>
    <w:pitch w:val="default"/>
    <w:sig w:usb0="00000003" w:usb1="00000000" w:usb2="00000000" w:usb3="00000000" w:csb0="00000001" w:csb1="00000000"/>
  </w:font>
  <w:font w:name="RijksoverheidSerif-Regular">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0560652"/>
      <w:docPartObj>
        <w:docPartGallery w:val="Page Numbers (Bottom of Page)"/>
        <w:docPartUnique/>
      </w:docPartObj>
    </w:sdtPr>
    <w:sdtEndPr>
      <w:rPr>
        <w:color w:val="7F7F7F" w:themeColor="background1" w:themeShade="7F"/>
        <w:spacing w:val="60"/>
      </w:rPr>
    </w:sdtEndPr>
    <w:sdtContent>
      <w:p w14:paraId="7B9E5194" w14:textId="77777777" w:rsidR="009551B2" w:rsidRDefault="009551B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40272" w:rsidRPr="00040272">
          <w:rPr>
            <w:b/>
            <w:bCs/>
            <w:noProof/>
          </w:rPr>
          <w:t>4</w:t>
        </w:r>
        <w:r>
          <w:rPr>
            <w:b/>
            <w:bCs/>
            <w:noProof/>
          </w:rPr>
          <w:fldChar w:fldCharType="end"/>
        </w:r>
        <w:r>
          <w:rPr>
            <w:b/>
            <w:bCs/>
          </w:rPr>
          <w:t xml:space="preserve"> | </w:t>
        </w:r>
        <w:r>
          <w:rPr>
            <w:color w:val="7F7F7F" w:themeColor="background1" w:themeShade="7F"/>
            <w:spacing w:val="60"/>
          </w:rPr>
          <w:t>Page</w:t>
        </w:r>
      </w:p>
    </w:sdtContent>
  </w:sdt>
  <w:p w14:paraId="03ACA204" w14:textId="77777777" w:rsidR="009551B2" w:rsidRDefault="009551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8C0BDF" w14:textId="77777777" w:rsidR="0032666D" w:rsidRDefault="0032666D" w:rsidP="001120A5">
      <w:pPr>
        <w:spacing w:after="0" w:line="240" w:lineRule="auto"/>
      </w:pPr>
      <w:r>
        <w:separator/>
      </w:r>
    </w:p>
  </w:footnote>
  <w:footnote w:type="continuationSeparator" w:id="0">
    <w:p w14:paraId="7D55D1CB" w14:textId="77777777" w:rsidR="0032666D" w:rsidRDefault="0032666D" w:rsidP="001120A5">
      <w:pPr>
        <w:spacing w:after="0" w:line="240" w:lineRule="auto"/>
      </w:pPr>
      <w:r>
        <w:continuationSeparator/>
      </w:r>
    </w:p>
  </w:footnote>
  <w:footnote w:id="1">
    <w:p w14:paraId="1FF4000F" w14:textId="52C40753" w:rsidR="009551B2" w:rsidRDefault="009551B2" w:rsidP="00D1397C">
      <w:pPr>
        <w:pStyle w:val="FootnoteText"/>
        <w:jc w:val="both"/>
      </w:pPr>
      <w:r>
        <w:rPr>
          <w:rStyle w:val="FootnoteReference"/>
        </w:rPr>
        <w:footnoteRef/>
      </w:r>
      <w:r>
        <w:t xml:space="preserve"> </w:t>
      </w:r>
      <w:r w:rsidRPr="007E0C30">
        <w:rPr>
          <w:rFonts w:ascii="Times New Roman" w:hAnsi="Times New Roman" w:cs="Times New Roman"/>
        </w:rPr>
        <w:t>Zambia is a landlocked republic situated in south-central Africa, with a surface area of 752,614 square kilometres and is bordered by eight neighbouring countries: the Democratic Republic of the Congo to the north, Tanzania to the north-east, Malawi to the east, Mozambique, Zimbabwe, Botswana and Namibia to the south and Angola to the west. Administratively, Zambia is divided into ten provinces, each administered by an appointed deputy minister. Each province is subdivided into several d</w:t>
      </w:r>
      <w:r>
        <w:rPr>
          <w:rFonts w:ascii="Times New Roman" w:hAnsi="Times New Roman" w:cs="Times New Roman"/>
        </w:rPr>
        <w:t>istricts</w:t>
      </w:r>
      <w:r w:rsidRPr="007E0C30">
        <w:rPr>
          <w:rFonts w:ascii="Times New Roman" w:hAnsi="Times New Roman" w:cs="Times New Roman"/>
        </w:rPr>
        <w:t>.</w:t>
      </w:r>
    </w:p>
  </w:footnote>
  <w:footnote w:id="2">
    <w:p w14:paraId="6EB2F52C" w14:textId="77777777" w:rsidR="009551B2" w:rsidRPr="00DE2CE8" w:rsidRDefault="009551B2" w:rsidP="00DE2CE8">
      <w:pPr>
        <w:spacing w:line="240" w:lineRule="auto"/>
        <w:jc w:val="both"/>
        <w:rPr>
          <w:rFonts w:ascii="Rockwell Nova Light" w:hAnsi="Rockwell Nova Light"/>
          <w:sz w:val="20"/>
          <w:szCs w:val="20"/>
        </w:rPr>
      </w:pPr>
      <w:r w:rsidRPr="007E0C30">
        <w:rPr>
          <w:rStyle w:val="FootnoteReference"/>
          <w:rFonts w:ascii="Times New Roman" w:hAnsi="Times New Roman" w:cs="Times New Roman"/>
        </w:rPr>
        <w:footnoteRef/>
      </w:r>
      <w:r w:rsidRPr="007E0C30">
        <w:rPr>
          <w:rFonts w:ascii="Times New Roman" w:hAnsi="Times New Roman" w:cs="Times New Roman"/>
        </w:rPr>
        <w:t xml:space="preserve"> </w:t>
      </w:r>
      <w:r w:rsidRPr="007E0C30">
        <w:rPr>
          <w:rFonts w:ascii="Times New Roman" w:hAnsi="Times New Roman" w:cs="Times New Roman"/>
          <w:sz w:val="20"/>
          <w:szCs w:val="20"/>
        </w:rPr>
        <w:t>Since the early 1990’s, Zambia had accumulated an external debt of USD 7.1 billion that made debt servicing a heavy burden on the GRZ’s ability to finance both its recurrent and development programmes. However, through the highly indebted poor countries (HIPC) and multilateral debt relief initiatives, Zambia’s external debt was reduced to USD 635 million by the end of 2006. Foreign direct investment remained modest for a long time in the 1990s, partly due to an investment climate characterized by high levels of corruption and investors’ fears of nationalization of assets. More recently this has changed, particularly since countries in the South have increased their economic involvement in Zambia.</w:t>
      </w:r>
      <w:r w:rsidRPr="007E0C30">
        <w:rPr>
          <w:rFonts w:ascii="Times New Roman" w:hAnsi="Times New Roman" w:cs="Times New Roman"/>
          <w:color w:val="000000"/>
          <w:sz w:val="20"/>
          <w:szCs w:val="20"/>
        </w:rPr>
        <w:t xml:space="preserve"> Net foreign direct investment (FDI) and portfolio investments have been growing steadily since 2009</w:t>
      </w:r>
      <w:r w:rsidRPr="00DE2CE8">
        <w:rPr>
          <w:rFonts w:ascii="Rockwell Nova Light" w:hAnsi="Rockwell Nova Light" w:cs="Times New Roman"/>
          <w:color w:val="000000"/>
          <w:sz w:val="20"/>
          <w:szCs w:val="20"/>
        </w:rPr>
        <w:t>.</w:t>
      </w:r>
    </w:p>
    <w:p w14:paraId="62747BE3" w14:textId="77777777" w:rsidR="009551B2" w:rsidRDefault="009551B2">
      <w:pPr>
        <w:pStyle w:val="FootnoteText"/>
      </w:pPr>
    </w:p>
  </w:footnote>
  <w:footnote w:id="3">
    <w:p w14:paraId="29C1AAAD" w14:textId="77777777" w:rsidR="009551B2" w:rsidRDefault="009551B2">
      <w:pPr>
        <w:pStyle w:val="FootnoteText"/>
      </w:pPr>
      <w:r>
        <w:rPr>
          <w:rStyle w:val="FootnoteReference"/>
        </w:rPr>
        <w:footnoteRef/>
      </w:r>
      <w:r>
        <w:t xml:space="preserve"> These are discussed elsewhere in this report.</w:t>
      </w:r>
    </w:p>
  </w:footnote>
  <w:footnote w:id="4">
    <w:p w14:paraId="05BD8851" w14:textId="77777777" w:rsidR="009551B2" w:rsidRDefault="009551B2">
      <w:pPr>
        <w:pStyle w:val="FootnoteText"/>
      </w:pPr>
      <w:r>
        <w:rPr>
          <w:rStyle w:val="FootnoteReference"/>
        </w:rPr>
        <w:footnoteRef/>
      </w:r>
      <w:r>
        <w:t xml:space="preserve"> The focus is on the period 2000-2015</w:t>
      </w:r>
    </w:p>
  </w:footnote>
  <w:footnote w:id="5">
    <w:p w14:paraId="53233A41" w14:textId="77777777" w:rsidR="009551B2" w:rsidRPr="00AB46AF" w:rsidRDefault="009551B2" w:rsidP="004C75E0">
      <w:pPr>
        <w:shd w:val="clear" w:color="auto" w:fill="FFFFFF"/>
        <w:spacing w:before="100" w:beforeAutospacing="1" w:after="100" w:afterAutospacing="1" w:line="240" w:lineRule="auto"/>
        <w:jc w:val="both"/>
        <w:rPr>
          <w:rFonts w:ascii="Times New Roman" w:eastAsia="Times New Roman" w:hAnsi="Times New Roman" w:cs="Times New Roman"/>
          <w:color w:val="333333"/>
          <w:sz w:val="20"/>
          <w:szCs w:val="20"/>
          <w:lang w:eastAsia="en-GB"/>
        </w:rPr>
      </w:pPr>
      <w:r>
        <w:rPr>
          <w:rStyle w:val="FootnoteReference"/>
        </w:rPr>
        <w:footnoteRef/>
      </w:r>
      <w:r>
        <w:t xml:space="preserve"> </w:t>
      </w:r>
      <w:r w:rsidRPr="00AB46AF">
        <w:rPr>
          <w:rFonts w:ascii="Times New Roman" w:eastAsia="Times New Roman" w:hAnsi="Times New Roman" w:cs="Times New Roman"/>
          <w:color w:val="333333"/>
          <w:sz w:val="20"/>
          <w:szCs w:val="20"/>
          <w:lang w:eastAsia="en-GB"/>
        </w:rPr>
        <w:t xml:space="preserve">In 1990, the International Literacy Year, about 1,500 delegates from 155 countries and representatives of some 150 governmental, non-governmental and intergovernmental organizations met at the World Conference on Education for All in Jomtien, Thailand, and called upon all countries to universalize adequate basic education. The Conference participants adopted the World Declaration on Education for All and a Framework for Action: Meeting Basic Learning Needs. Emphasis was placed not only on </w:t>
      </w:r>
      <w:r w:rsidRPr="00AB46AF">
        <w:rPr>
          <w:rFonts w:ascii="Times New Roman" w:eastAsia="Times New Roman" w:hAnsi="Times New Roman" w:cs="Times New Roman"/>
          <w:b/>
          <w:color w:val="333333"/>
          <w:sz w:val="20"/>
          <w:szCs w:val="20"/>
          <w:lang w:eastAsia="en-GB"/>
        </w:rPr>
        <w:t>access to basic education</w:t>
      </w:r>
      <w:r w:rsidRPr="00AB46AF">
        <w:rPr>
          <w:rFonts w:ascii="Times New Roman" w:eastAsia="Times New Roman" w:hAnsi="Times New Roman" w:cs="Times New Roman"/>
          <w:color w:val="333333"/>
          <w:sz w:val="20"/>
          <w:szCs w:val="20"/>
          <w:lang w:eastAsia="en-GB"/>
        </w:rPr>
        <w:t xml:space="preserve">, but also on the </w:t>
      </w:r>
      <w:r w:rsidRPr="00AB46AF">
        <w:rPr>
          <w:rFonts w:ascii="Times New Roman" w:eastAsia="Times New Roman" w:hAnsi="Times New Roman" w:cs="Times New Roman"/>
          <w:b/>
          <w:color w:val="333333"/>
          <w:sz w:val="20"/>
          <w:szCs w:val="20"/>
          <w:lang w:eastAsia="en-GB"/>
        </w:rPr>
        <w:t>quality of education</w:t>
      </w:r>
      <w:r w:rsidRPr="00AB46AF">
        <w:rPr>
          <w:rFonts w:ascii="Times New Roman" w:eastAsia="Times New Roman" w:hAnsi="Times New Roman" w:cs="Times New Roman"/>
          <w:color w:val="333333"/>
          <w:sz w:val="20"/>
          <w:szCs w:val="20"/>
          <w:lang w:eastAsia="en-GB"/>
        </w:rPr>
        <w:t xml:space="preserve"> and </w:t>
      </w:r>
      <w:r w:rsidRPr="00AB46AF">
        <w:rPr>
          <w:rFonts w:ascii="Times New Roman" w:eastAsia="Times New Roman" w:hAnsi="Times New Roman" w:cs="Times New Roman"/>
          <w:b/>
          <w:color w:val="333333"/>
          <w:sz w:val="20"/>
          <w:szCs w:val="20"/>
          <w:lang w:eastAsia="en-GB"/>
        </w:rPr>
        <w:t>actual learning outcomes</w:t>
      </w:r>
      <w:r w:rsidRPr="00AB46AF">
        <w:rPr>
          <w:rFonts w:ascii="Times New Roman" w:eastAsia="Times New Roman" w:hAnsi="Times New Roman" w:cs="Times New Roman"/>
          <w:color w:val="333333"/>
          <w:sz w:val="20"/>
          <w:szCs w:val="20"/>
          <w:lang w:eastAsia="en-GB"/>
        </w:rPr>
        <w:t>.</w:t>
      </w:r>
    </w:p>
  </w:footnote>
  <w:footnote w:id="6">
    <w:p w14:paraId="097EBD9D" w14:textId="77777777" w:rsidR="009551B2" w:rsidRPr="00A91F4B" w:rsidRDefault="009551B2" w:rsidP="00A91F4B">
      <w:pPr>
        <w:pStyle w:val="FootnoteText"/>
        <w:jc w:val="both"/>
        <w:rPr>
          <w:rFonts w:ascii="Rockwell Nova Light" w:hAnsi="Rockwell Nova Light"/>
        </w:rPr>
      </w:pPr>
      <w:r w:rsidRPr="00AB46AF">
        <w:rPr>
          <w:rStyle w:val="FootnoteReference"/>
          <w:rFonts w:ascii="Times New Roman" w:hAnsi="Times New Roman" w:cs="Times New Roman"/>
        </w:rPr>
        <w:footnoteRef/>
      </w:r>
      <w:r w:rsidRPr="00AB46AF">
        <w:rPr>
          <w:rFonts w:ascii="Times New Roman" w:hAnsi="Times New Roman" w:cs="Times New Roman"/>
        </w:rPr>
        <w:t xml:space="preserve"> This policy document is not without criticisms, however. Part of the criticism is that neo-liberal principles on which it is founded cannot lead to a more relevant education for Zambia (See ANSA, 2008 for a fuller discussion on this line of criticism).</w:t>
      </w:r>
    </w:p>
  </w:footnote>
  <w:footnote w:id="7">
    <w:p w14:paraId="5E3CD606" w14:textId="77777777" w:rsidR="009551B2" w:rsidRPr="005926F2" w:rsidRDefault="009551B2" w:rsidP="00F6575E">
      <w:pPr>
        <w:pStyle w:val="NoSpacing"/>
        <w:jc w:val="both"/>
        <w:rPr>
          <w:rFonts w:ascii="Rockwell Nova Light" w:hAnsi="Rockwell Nova Light"/>
          <w:sz w:val="20"/>
          <w:szCs w:val="20"/>
        </w:rPr>
      </w:pPr>
      <w:r w:rsidRPr="00073C1A">
        <w:rPr>
          <w:rStyle w:val="FootnoteReference"/>
          <w:rFonts w:ascii="Times New Roman" w:hAnsi="Times New Roman" w:cs="Times New Roman"/>
        </w:rPr>
        <w:footnoteRef/>
      </w:r>
      <w:r w:rsidRPr="00073C1A">
        <w:rPr>
          <w:rFonts w:ascii="Times New Roman" w:hAnsi="Times New Roman" w:cs="Times New Roman"/>
        </w:rPr>
        <w:t xml:space="preserve"> </w:t>
      </w:r>
      <w:r w:rsidRPr="00073C1A">
        <w:rPr>
          <w:rFonts w:ascii="Times New Roman" w:hAnsi="Times New Roman" w:cs="Times New Roman"/>
          <w:sz w:val="20"/>
          <w:szCs w:val="20"/>
        </w:rPr>
        <w:t>Until 2003, sector support had mainly been restricted to funding basic education, but the MoESP paved the way for sector support. In February 2003, the Ministry of Education and nine development agencies signed a Memorandum of Understanding (MoU) based on the MoESP. The ten agencies coordinated their support in the sector pool. The sector-wide approach within education was part of the harmonisation process that was beginning to take shape in 2002. This process aimed at enhancing the effectiveness and efficiency of development cooperation by promoting cooperation and alignment</w:t>
      </w:r>
      <w:r>
        <w:rPr>
          <w:rFonts w:ascii="Rockwell Nova Light" w:hAnsi="Rockwell Nova Light"/>
          <w:sz w:val="20"/>
          <w:szCs w:val="20"/>
        </w:rPr>
        <w:t>.</w:t>
      </w:r>
    </w:p>
    <w:p w14:paraId="5EEB818A" w14:textId="77777777" w:rsidR="009551B2" w:rsidRDefault="009551B2">
      <w:pPr>
        <w:pStyle w:val="FootnoteText"/>
      </w:pPr>
    </w:p>
  </w:footnote>
  <w:footnote w:id="8">
    <w:p w14:paraId="0BD5716A" w14:textId="77777777" w:rsidR="009551B2" w:rsidRDefault="009551B2" w:rsidP="00E366F1">
      <w:pPr>
        <w:pStyle w:val="FootnoteText"/>
        <w:jc w:val="both"/>
      </w:pPr>
      <w:r>
        <w:rPr>
          <w:rStyle w:val="FootnoteReference"/>
        </w:rPr>
        <w:footnoteRef/>
      </w:r>
      <w:r>
        <w:t xml:space="preserve"> </w:t>
      </w:r>
      <w:r w:rsidRPr="00227268">
        <w:rPr>
          <w:rFonts w:ascii="Times New Roman" w:hAnsi="Times New Roman" w:cs="Times New Roman"/>
        </w:rPr>
        <w:t>Early Childhood Care Development and Education services can be seen as taking up two distinct phases: one for 0-36 months (day care services/crèches) and the formal early childhood education period for children 36-72 months</w:t>
      </w:r>
      <w:r w:rsidRPr="00E366F1">
        <w:rPr>
          <w:rFonts w:ascii="Rockwell Nova Light" w:hAnsi="Rockwell Nova Light" w:cs="Arial"/>
        </w:rPr>
        <w:t>.</w:t>
      </w:r>
    </w:p>
  </w:footnote>
  <w:footnote w:id="9">
    <w:p w14:paraId="0E5D6AF8" w14:textId="0AFF8A75" w:rsidR="009551B2" w:rsidRDefault="009551B2">
      <w:pPr>
        <w:pStyle w:val="FootnoteText"/>
      </w:pPr>
      <w:r>
        <w:rPr>
          <w:rStyle w:val="FootnoteReference"/>
        </w:rPr>
        <w:footnoteRef/>
      </w:r>
      <w:r>
        <w:t xml:space="preserve"> </w:t>
      </w:r>
      <w:r w:rsidRPr="003F11D2">
        <w:rPr>
          <w:rFonts w:ascii="Times New Roman" w:hAnsi="Times New Roman" w:cs="Times New Roman"/>
        </w:rPr>
        <w:t>Ministry of Education, Science, Vocational Training and Early Education (2012). Education Sector National Implementation Framework III 2011-2015, Lusaka, Zambia.</w:t>
      </w:r>
    </w:p>
  </w:footnote>
  <w:footnote w:id="10">
    <w:p w14:paraId="166CA0AA" w14:textId="77777777" w:rsidR="009551B2" w:rsidRPr="00CF4167" w:rsidRDefault="009551B2" w:rsidP="009C73FF">
      <w:pPr>
        <w:pStyle w:val="FootnoteText"/>
        <w:jc w:val="both"/>
        <w:rPr>
          <w:rFonts w:ascii="Times New Roman" w:hAnsi="Times New Roman" w:cs="Times New Roman"/>
        </w:rPr>
      </w:pPr>
      <w:r w:rsidRPr="00CF4167">
        <w:rPr>
          <w:rStyle w:val="FootnoteReference"/>
          <w:rFonts w:ascii="Times New Roman" w:hAnsi="Times New Roman" w:cs="Times New Roman"/>
        </w:rPr>
        <w:footnoteRef/>
      </w:r>
      <w:r w:rsidRPr="00CF4167">
        <w:rPr>
          <w:rFonts w:ascii="Times New Roman" w:hAnsi="Times New Roman" w:cs="Times New Roman"/>
        </w:rPr>
        <w:t xml:space="preserve"> </w:t>
      </w:r>
      <w:r w:rsidRPr="00CF4167">
        <w:rPr>
          <w:rFonts w:ascii="Times New Roman" w:hAnsi="Times New Roman" w:cs="Times New Roman"/>
          <w:lang w:val="en-US"/>
        </w:rPr>
        <w:t>Improved</w:t>
      </w:r>
      <w:r w:rsidRPr="00CF4167">
        <w:rPr>
          <w:rFonts w:ascii="Times New Roman" w:hAnsi="Times New Roman" w:cs="Times New Roman"/>
          <w:color w:val="000000"/>
          <w:lang w:val="en-US"/>
        </w:rPr>
        <w:t xml:space="preserve"> primary school net enrollment is linked to several factors: development of school infrastructure, introduction of free education, relaxing the uniform policy, formalisation of community schools, re-entry policy, upgrading of primary schools, sustained teacher recruitment and the growth of private schools (MoE, 2012).</w:t>
      </w:r>
      <w:r w:rsidRPr="00CF4167">
        <w:rPr>
          <w:rFonts w:ascii="Times New Roman" w:hAnsi="Times New Roman" w:cs="Times New Roman"/>
          <w:color w:val="000000"/>
          <w:sz w:val="24"/>
          <w:szCs w:val="24"/>
          <w:lang w:val="en-US"/>
        </w:rPr>
        <w:t xml:space="preserve">  </w:t>
      </w:r>
    </w:p>
  </w:footnote>
  <w:footnote w:id="11">
    <w:p w14:paraId="605C533A" w14:textId="77777777" w:rsidR="009551B2" w:rsidRDefault="009551B2" w:rsidP="007B52F6">
      <w:pPr>
        <w:pStyle w:val="FootnoteText"/>
        <w:jc w:val="both"/>
      </w:pPr>
      <w:r>
        <w:rPr>
          <w:rStyle w:val="FootnoteReference"/>
        </w:rPr>
        <w:footnoteRef/>
      </w:r>
      <w:r>
        <w:t xml:space="preserve"> </w:t>
      </w:r>
      <w:r w:rsidRPr="007B52F6">
        <w:rPr>
          <w:rFonts w:ascii="Times New Roman" w:hAnsi="Times New Roman" w:cs="Times New Roman"/>
          <w:color w:val="000000"/>
          <w:lang w:val="en-US"/>
        </w:rPr>
        <w:t>The primary completion rate is a measure of the quality of the educational system. It also helps to gauge the success of the system in curbing drop outs and improving retention, thus keeping children in school to complete their primary education (ECA/UNDP, 2012).</w:t>
      </w:r>
    </w:p>
  </w:footnote>
  <w:footnote w:id="12">
    <w:p w14:paraId="3F5F636E" w14:textId="07FC15CC" w:rsidR="009551B2" w:rsidRPr="0005457C" w:rsidRDefault="009551B2" w:rsidP="0005457C">
      <w:pPr>
        <w:pStyle w:val="FootnoteText"/>
        <w:jc w:val="both"/>
        <w:rPr>
          <w:rFonts w:ascii="Times New Roman" w:hAnsi="Times New Roman" w:cs="Times New Roman"/>
        </w:rPr>
      </w:pPr>
      <w:r w:rsidRPr="0005457C">
        <w:rPr>
          <w:rStyle w:val="FootnoteReference"/>
          <w:rFonts w:ascii="Times New Roman" w:hAnsi="Times New Roman" w:cs="Times New Roman"/>
        </w:rPr>
        <w:footnoteRef/>
      </w:r>
      <w:r w:rsidRPr="0005457C">
        <w:rPr>
          <w:rFonts w:ascii="Times New Roman" w:hAnsi="Times New Roman" w:cs="Times New Roman"/>
        </w:rPr>
        <w:t xml:space="preserve"> Students over 18 years can still be at school. Age is not a discriminatory factor; however, the school census from 2000 to 2014 do not give figures for the population over 18 years old still enrolled at school.</w:t>
      </w:r>
    </w:p>
  </w:footnote>
  <w:footnote w:id="13">
    <w:p w14:paraId="103B6159" w14:textId="79791C34" w:rsidR="009551B2" w:rsidRDefault="009551B2">
      <w:pPr>
        <w:pStyle w:val="FootnoteText"/>
      </w:pPr>
      <w:r>
        <w:rPr>
          <w:rStyle w:val="FootnoteReference"/>
        </w:rPr>
        <w:footnoteRef/>
      </w:r>
      <w:r>
        <w:t xml:space="preserve"> These include JICA, African Development Bank, USAID, CAMFED, ChildFund Zambia, World Bank, Educational Development Centre, Plan International, Save the Children, Room to Read, Ischool, sightsavers.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B0AAC"/>
    <w:multiLevelType w:val="hybridMultilevel"/>
    <w:tmpl w:val="568CB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7170A6"/>
    <w:multiLevelType w:val="hybridMultilevel"/>
    <w:tmpl w:val="B876279A"/>
    <w:lvl w:ilvl="0" w:tplc="F0B03ABC">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
    <w:nsid w:val="10D61951"/>
    <w:multiLevelType w:val="hybridMultilevel"/>
    <w:tmpl w:val="10AAACDE"/>
    <w:lvl w:ilvl="0" w:tplc="A1B40DB4">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23D60B8"/>
    <w:multiLevelType w:val="hybridMultilevel"/>
    <w:tmpl w:val="6FCA0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8C15F65"/>
    <w:multiLevelType w:val="hybridMultilevel"/>
    <w:tmpl w:val="29CCB9F8"/>
    <w:lvl w:ilvl="0" w:tplc="5846080C">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E322509"/>
    <w:multiLevelType w:val="multilevel"/>
    <w:tmpl w:val="01FA10A4"/>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E83313F"/>
    <w:multiLevelType w:val="hybridMultilevel"/>
    <w:tmpl w:val="26422B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F4A0C97"/>
    <w:multiLevelType w:val="hybridMultilevel"/>
    <w:tmpl w:val="6E1A4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FDE370E"/>
    <w:multiLevelType w:val="multilevel"/>
    <w:tmpl w:val="A3EE81C0"/>
    <w:lvl w:ilvl="0">
      <w:start w:val="4"/>
      <w:numFmt w:val="decimal"/>
      <w:lvlText w:val="%1"/>
      <w:lvlJc w:val="left"/>
      <w:pPr>
        <w:ind w:left="360" w:hanging="360"/>
      </w:pPr>
      <w:rPr>
        <w:rFonts w:asciiTheme="majorHAnsi" w:eastAsiaTheme="majorEastAsia" w:hAnsiTheme="majorHAnsi" w:cstheme="majorBidi" w:hint="default"/>
        <w:color w:val="2E74B5" w:themeColor="accent1" w:themeShade="BF"/>
        <w:sz w:val="26"/>
      </w:rPr>
    </w:lvl>
    <w:lvl w:ilvl="1">
      <w:start w:val="1"/>
      <w:numFmt w:val="decimal"/>
      <w:lvlText w:val="%1.%2"/>
      <w:lvlJc w:val="left"/>
      <w:pPr>
        <w:ind w:left="360" w:hanging="360"/>
      </w:pPr>
      <w:rPr>
        <w:rFonts w:asciiTheme="majorHAnsi" w:eastAsiaTheme="majorEastAsia" w:hAnsiTheme="majorHAnsi" w:cstheme="majorBidi" w:hint="default"/>
        <w:color w:val="2E74B5" w:themeColor="accent1" w:themeShade="BF"/>
        <w:sz w:val="26"/>
      </w:rPr>
    </w:lvl>
    <w:lvl w:ilvl="2">
      <w:start w:val="1"/>
      <w:numFmt w:val="decimal"/>
      <w:lvlText w:val="%1.%2.%3"/>
      <w:lvlJc w:val="left"/>
      <w:pPr>
        <w:ind w:left="720" w:hanging="720"/>
      </w:pPr>
      <w:rPr>
        <w:rFonts w:asciiTheme="majorHAnsi" w:eastAsiaTheme="majorEastAsia" w:hAnsiTheme="majorHAnsi" w:cstheme="majorBidi" w:hint="default"/>
        <w:color w:val="2E74B5" w:themeColor="accent1" w:themeShade="BF"/>
        <w:sz w:val="26"/>
      </w:rPr>
    </w:lvl>
    <w:lvl w:ilvl="3">
      <w:start w:val="1"/>
      <w:numFmt w:val="decimal"/>
      <w:lvlText w:val="%1.%2.%3.%4"/>
      <w:lvlJc w:val="left"/>
      <w:pPr>
        <w:ind w:left="720" w:hanging="720"/>
      </w:pPr>
      <w:rPr>
        <w:rFonts w:asciiTheme="majorHAnsi" w:eastAsiaTheme="majorEastAsia" w:hAnsiTheme="majorHAnsi" w:cstheme="majorBidi" w:hint="default"/>
        <w:color w:val="2E74B5"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2E74B5" w:themeColor="accent1" w:themeShade="BF"/>
        <w:sz w:val="26"/>
      </w:rPr>
    </w:lvl>
    <w:lvl w:ilvl="5">
      <w:start w:val="1"/>
      <w:numFmt w:val="decimal"/>
      <w:lvlText w:val="%1.%2.%3.%4.%5.%6"/>
      <w:lvlJc w:val="left"/>
      <w:pPr>
        <w:ind w:left="1080" w:hanging="1080"/>
      </w:pPr>
      <w:rPr>
        <w:rFonts w:asciiTheme="majorHAnsi" w:eastAsiaTheme="majorEastAsia" w:hAnsiTheme="majorHAnsi" w:cstheme="majorBidi" w:hint="default"/>
        <w:color w:val="2E74B5"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2E74B5" w:themeColor="accent1" w:themeShade="BF"/>
        <w:sz w:val="26"/>
      </w:rPr>
    </w:lvl>
    <w:lvl w:ilvl="7">
      <w:start w:val="1"/>
      <w:numFmt w:val="decimal"/>
      <w:lvlText w:val="%1.%2.%3.%4.%5.%6.%7.%8"/>
      <w:lvlJc w:val="left"/>
      <w:pPr>
        <w:ind w:left="1440" w:hanging="1440"/>
      </w:pPr>
      <w:rPr>
        <w:rFonts w:asciiTheme="majorHAnsi" w:eastAsiaTheme="majorEastAsia" w:hAnsiTheme="majorHAnsi" w:cstheme="majorBidi" w:hint="default"/>
        <w:color w:val="2E74B5" w:themeColor="accent1" w:themeShade="BF"/>
        <w:sz w:val="26"/>
      </w:rPr>
    </w:lvl>
    <w:lvl w:ilvl="8">
      <w:start w:val="1"/>
      <w:numFmt w:val="decimal"/>
      <w:lvlText w:val="%1.%2.%3.%4.%5.%6.%7.%8.%9"/>
      <w:lvlJc w:val="left"/>
      <w:pPr>
        <w:ind w:left="1440" w:hanging="1440"/>
      </w:pPr>
      <w:rPr>
        <w:rFonts w:asciiTheme="majorHAnsi" w:eastAsiaTheme="majorEastAsia" w:hAnsiTheme="majorHAnsi" w:cstheme="majorBidi" w:hint="default"/>
        <w:color w:val="2E74B5" w:themeColor="accent1" w:themeShade="BF"/>
        <w:sz w:val="26"/>
      </w:rPr>
    </w:lvl>
  </w:abstractNum>
  <w:abstractNum w:abstractNumId="9">
    <w:nsid w:val="26857B3C"/>
    <w:multiLevelType w:val="multilevel"/>
    <w:tmpl w:val="051A1D1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9C346FA"/>
    <w:multiLevelType w:val="hybridMultilevel"/>
    <w:tmpl w:val="46C436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B0773E3"/>
    <w:multiLevelType w:val="multilevel"/>
    <w:tmpl w:val="D5B28C4E"/>
    <w:lvl w:ilvl="0">
      <w:start w:val="1"/>
      <w:numFmt w:val="decimal"/>
      <w:lvlText w:val="%1.0"/>
      <w:lvlJc w:val="left"/>
      <w:pPr>
        <w:ind w:left="720" w:hanging="720"/>
      </w:pPr>
      <w:rPr>
        <w:rFonts w:hint="default"/>
      </w:rPr>
    </w:lvl>
    <w:lvl w:ilv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2CB37C2A"/>
    <w:multiLevelType w:val="hybridMultilevel"/>
    <w:tmpl w:val="957887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13D3A12"/>
    <w:multiLevelType w:val="hybridMultilevel"/>
    <w:tmpl w:val="C3C63740"/>
    <w:lvl w:ilvl="0" w:tplc="EEBE8B76">
      <w:start w:val="1"/>
      <w:numFmt w:val="decimal"/>
      <w:lvlText w:val="%1."/>
      <w:lvlJc w:val="left"/>
      <w:pPr>
        <w:ind w:left="720" w:hanging="360"/>
      </w:pPr>
      <w:rPr>
        <w:rFonts w:cs="RotisSansSerif"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7E34B0E"/>
    <w:multiLevelType w:val="multilevel"/>
    <w:tmpl w:val="15FCC682"/>
    <w:lvl w:ilvl="0">
      <w:start w:val="4"/>
      <w:numFmt w:val="decimal"/>
      <w:lvlText w:val="%1"/>
      <w:lvlJc w:val="left"/>
      <w:pPr>
        <w:ind w:left="360" w:hanging="360"/>
      </w:pPr>
      <w:rPr>
        <w:rFonts w:asciiTheme="majorHAnsi" w:eastAsiaTheme="majorEastAsia" w:hAnsiTheme="majorHAnsi" w:cstheme="majorBidi" w:hint="default"/>
        <w:color w:val="2E74B5" w:themeColor="accent1" w:themeShade="BF"/>
        <w:sz w:val="26"/>
      </w:rPr>
    </w:lvl>
    <w:lvl w:ilvl="1">
      <w:start w:val="1"/>
      <w:numFmt w:val="decimal"/>
      <w:lvlText w:val="%1.%2"/>
      <w:lvlJc w:val="left"/>
      <w:pPr>
        <w:ind w:left="360" w:hanging="360"/>
      </w:pPr>
      <w:rPr>
        <w:rFonts w:asciiTheme="majorHAnsi" w:eastAsiaTheme="majorEastAsia" w:hAnsiTheme="majorHAnsi" w:cstheme="majorBidi" w:hint="default"/>
        <w:color w:val="2E74B5" w:themeColor="accent1" w:themeShade="BF"/>
        <w:sz w:val="26"/>
      </w:rPr>
    </w:lvl>
    <w:lvl w:ilvl="2">
      <w:start w:val="1"/>
      <w:numFmt w:val="decimal"/>
      <w:lvlText w:val="%1.%2.%3"/>
      <w:lvlJc w:val="left"/>
      <w:pPr>
        <w:ind w:left="720" w:hanging="720"/>
      </w:pPr>
      <w:rPr>
        <w:rFonts w:asciiTheme="majorHAnsi" w:eastAsiaTheme="majorEastAsia" w:hAnsiTheme="majorHAnsi" w:cstheme="majorBidi" w:hint="default"/>
        <w:color w:val="2E74B5" w:themeColor="accent1" w:themeShade="BF"/>
        <w:sz w:val="26"/>
      </w:rPr>
    </w:lvl>
    <w:lvl w:ilvl="3">
      <w:start w:val="1"/>
      <w:numFmt w:val="decimal"/>
      <w:lvlText w:val="%1.%2.%3.%4"/>
      <w:lvlJc w:val="left"/>
      <w:pPr>
        <w:ind w:left="720" w:hanging="720"/>
      </w:pPr>
      <w:rPr>
        <w:rFonts w:asciiTheme="majorHAnsi" w:eastAsiaTheme="majorEastAsia" w:hAnsiTheme="majorHAnsi" w:cstheme="majorBidi" w:hint="default"/>
        <w:color w:val="2E74B5"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2E74B5" w:themeColor="accent1" w:themeShade="BF"/>
        <w:sz w:val="26"/>
      </w:rPr>
    </w:lvl>
    <w:lvl w:ilvl="5">
      <w:start w:val="1"/>
      <w:numFmt w:val="decimal"/>
      <w:lvlText w:val="%1.%2.%3.%4.%5.%6"/>
      <w:lvlJc w:val="left"/>
      <w:pPr>
        <w:ind w:left="1080" w:hanging="1080"/>
      </w:pPr>
      <w:rPr>
        <w:rFonts w:asciiTheme="majorHAnsi" w:eastAsiaTheme="majorEastAsia" w:hAnsiTheme="majorHAnsi" w:cstheme="majorBidi" w:hint="default"/>
        <w:color w:val="2E74B5"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2E74B5" w:themeColor="accent1" w:themeShade="BF"/>
        <w:sz w:val="26"/>
      </w:rPr>
    </w:lvl>
    <w:lvl w:ilvl="7">
      <w:start w:val="1"/>
      <w:numFmt w:val="decimal"/>
      <w:lvlText w:val="%1.%2.%3.%4.%5.%6.%7.%8"/>
      <w:lvlJc w:val="left"/>
      <w:pPr>
        <w:ind w:left="1440" w:hanging="1440"/>
      </w:pPr>
      <w:rPr>
        <w:rFonts w:asciiTheme="majorHAnsi" w:eastAsiaTheme="majorEastAsia" w:hAnsiTheme="majorHAnsi" w:cstheme="majorBidi" w:hint="default"/>
        <w:color w:val="2E74B5" w:themeColor="accent1" w:themeShade="BF"/>
        <w:sz w:val="26"/>
      </w:rPr>
    </w:lvl>
    <w:lvl w:ilvl="8">
      <w:start w:val="1"/>
      <w:numFmt w:val="decimal"/>
      <w:lvlText w:val="%1.%2.%3.%4.%5.%6.%7.%8.%9"/>
      <w:lvlJc w:val="left"/>
      <w:pPr>
        <w:ind w:left="1440" w:hanging="1440"/>
      </w:pPr>
      <w:rPr>
        <w:rFonts w:asciiTheme="majorHAnsi" w:eastAsiaTheme="majorEastAsia" w:hAnsiTheme="majorHAnsi" w:cstheme="majorBidi" w:hint="default"/>
        <w:color w:val="2E74B5" w:themeColor="accent1" w:themeShade="BF"/>
        <w:sz w:val="26"/>
      </w:rPr>
    </w:lvl>
  </w:abstractNum>
  <w:abstractNum w:abstractNumId="15">
    <w:nsid w:val="3A936AD6"/>
    <w:multiLevelType w:val="hybridMultilevel"/>
    <w:tmpl w:val="7E1EED36"/>
    <w:lvl w:ilvl="0" w:tplc="FD6CBA4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52F5AD7"/>
    <w:multiLevelType w:val="hybridMultilevel"/>
    <w:tmpl w:val="B03C8EFC"/>
    <w:lvl w:ilvl="0" w:tplc="2A682812">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7">
    <w:nsid w:val="48261CC2"/>
    <w:multiLevelType w:val="multilevel"/>
    <w:tmpl w:val="E16C7AC2"/>
    <w:lvl w:ilvl="0">
      <w:start w:val="3"/>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4828586A"/>
    <w:multiLevelType w:val="multilevel"/>
    <w:tmpl w:val="450C285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BC92C46"/>
    <w:multiLevelType w:val="hybridMultilevel"/>
    <w:tmpl w:val="85A69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1A916AD"/>
    <w:multiLevelType w:val="hybridMultilevel"/>
    <w:tmpl w:val="8982E57E"/>
    <w:lvl w:ilvl="0" w:tplc="5268DFC8">
      <w:start w:val="2"/>
      <w:numFmt w:val="bullet"/>
      <w:lvlText w:val="•"/>
      <w:lvlJc w:val="left"/>
      <w:pPr>
        <w:ind w:left="720" w:hanging="360"/>
      </w:pPr>
      <w:rPr>
        <w:rFonts w:ascii="Rockwell Nova Light" w:eastAsiaTheme="minorHAnsi" w:hAnsi="Rockwell Nova Ligh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9735BA5"/>
    <w:multiLevelType w:val="hybridMultilevel"/>
    <w:tmpl w:val="03EA83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nsid w:val="5FA57AA7"/>
    <w:multiLevelType w:val="multilevel"/>
    <w:tmpl w:val="4E8CD680"/>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6351568C"/>
    <w:multiLevelType w:val="multilevel"/>
    <w:tmpl w:val="2CB22DD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5D61129"/>
    <w:multiLevelType w:val="hybridMultilevel"/>
    <w:tmpl w:val="EC680C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0372C7C"/>
    <w:multiLevelType w:val="hybridMultilevel"/>
    <w:tmpl w:val="78A25168"/>
    <w:lvl w:ilvl="0" w:tplc="09D21F3A">
      <w:start w:val="1"/>
      <w:numFmt w:val="lowerRoman"/>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74F11523"/>
    <w:multiLevelType w:val="hybridMultilevel"/>
    <w:tmpl w:val="4614B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AD165EC"/>
    <w:multiLevelType w:val="hybridMultilevel"/>
    <w:tmpl w:val="07709F72"/>
    <w:lvl w:ilvl="0" w:tplc="8D6CF0BC">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D882E79"/>
    <w:multiLevelType w:val="hybridMultilevel"/>
    <w:tmpl w:val="5E7877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1"/>
  </w:num>
  <w:num w:numId="3">
    <w:abstractNumId w:val="1"/>
  </w:num>
  <w:num w:numId="4">
    <w:abstractNumId w:val="16"/>
  </w:num>
  <w:num w:numId="5">
    <w:abstractNumId w:val="23"/>
  </w:num>
  <w:num w:numId="6">
    <w:abstractNumId w:val="6"/>
  </w:num>
  <w:num w:numId="7">
    <w:abstractNumId w:val="7"/>
  </w:num>
  <w:num w:numId="8">
    <w:abstractNumId w:val="19"/>
  </w:num>
  <w:num w:numId="9">
    <w:abstractNumId w:val="12"/>
  </w:num>
  <w:num w:numId="10">
    <w:abstractNumId w:val="20"/>
  </w:num>
  <w:num w:numId="11">
    <w:abstractNumId w:val="25"/>
  </w:num>
  <w:num w:numId="12">
    <w:abstractNumId w:val="26"/>
  </w:num>
  <w:num w:numId="13">
    <w:abstractNumId w:val="28"/>
  </w:num>
  <w:num w:numId="14">
    <w:abstractNumId w:val="4"/>
  </w:num>
  <w:num w:numId="15">
    <w:abstractNumId w:val="17"/>
  </w:num>
  <w:num w:numId="16">
    <w:abstractNumId w:val="13"/>
  </w:num>
  <w:num w:numId="17">
    <w:abstractNumId w:val="22"/>
  </w:num>
  <w:num w:numId="18">
    <w:abstractNumId w:val="5"/>
  </w:num>
  <w:num w:numId="19">
    <w:abstractNumId w:val="0"/>
  </w:num>
  <w:num w:numId="20">
    <w:abstractNumId w:val="3"/>
  </w:num>
  <w:num w:numId="21">
    <w:abstractNumId w:val="21"/>
  </w:num>
  <w:num w:numId="22">
    <w:abstractNumId w:val="24"/>
  </w:num>
  <w:num w:numId="23">
    <w:abstractNumId w:val="9"/>
  </w:num>
  <w:num w:numId="24">
    <w:abstractNumId w:val="18"/>
  </w:num>
  <w:num w:numId="25">
    <w:abstractNumId w:val="8"/>
  </w:num>
  <w:num w:numId="26">
    <w:abstractNumId w:val="14"/>
  </w:num>
  <w:num w:numId="27">
    <w:abstractNumId w:val="2"/>
  </w:num>
  <w:num w:numId="28">
    <w:abstractNumId w:val="27"/>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0D8"/>
    <w:rsid w:val="00000D56"/>
    <w:rsid w:val="00010EDA"/>
    <w:rsid w:val="00013E1A"/>
    <w:rsid w:val="000171F1"/>
    <w:rsid w:val="00024A4E"/>
    <w:rsid w:val="00027183"/>
    <w:rsid w:val="000277D7"/>
    <w:rsid w:val="000360EB"/>
    <w:rsid w:val="00036E90"/>
    <w:rsid w:val="00040272"/>
    <w:rsid w:val="0005457C"/>
    <w:rsid w:val="00055FD3"/>
    <w:rsid w:val="00056DED"/>
    <w:rsid w:val="0006627F"/>
    <w:rsid w:val="00072C06"/>
    <w:rsid w:val="00072DDF"/>
    <w:rsid w:val="00073C1A"/>
    <w:rsid w:val="00077D3C"/>
    <w:rsid w:val="00081DD9"/>
    <w:rsid w:val="00081EE8"/>
    <w:rsid w:val="00090CD0"/>
    <w:rsid w:val="00095153"/>
    <w:rsid w:val="000A2C73"/>
    <w:rsid w:val="000A7904"/>
    <w:rsid w:val="000C4322"/>
    <w:rsid w:val="000C631F"/>
    <w:rsid w:val="000C739F"/>
    <w:rsid w:val="000D2715"/>
    <w:rsid w:val="000E2BCC"/>
    <w:rsid w:val="001058FB"/>
    <w:rsid w:val="001120A5"/>
    <w:rsid w:val="00112E65"/>
    <w:rsid w:val="0011765F"/>
    <w:rsid w:val="00121F78"/>
    <w:rsid w:val="00154DA7"/>
    <w:rsid w:val="0016591F"/>
    <w:rsid w:val="00165948"/>
    <w:rsid w:val="00171B76"/>
    <w:rsid w:val="00173D39"/>
    <w:rsid w:val="00174581"/>
    <w:rsid w:val="00176277"/>
    <w:rsid w:val="00180985"/>
    <w:rsid w:val="001914D3"/>
    <w:rsid w:val="001920E9"/>
    <w:rsid w:val="001A40D8"/>
    <w:rsid w:val="001B1797"/>
    <w:rsid w:val="001B3E9F"/>
    <w:rsid w:val="001C3022"/>
    <w:rsid w:val="001C42F5"/>
    <w:rsid w:val="001C5851"/>
    <w:rsid w:val="001C7505"/>
    <w:rsid w:val="001D4A99"/>
    <w:rsid w:val="001D4D58"/>
    <w:rsid w:val="001E1303"/>
    <w:rsid w:val="001E1370"/>
    <w:rsid w:val="001E1EEB"/>
    <w:rsid w:val="001E67AB"/>
    <w:rsid w:val="001F3844"/>
    <w:rsid w:val="00217580"/>
    <w:rsid w:val="00222019"/>
    <w:rsid w:val="00225C5A"/>
    <w:rsid w:val="00227268"/>
    <w:rsid w:val="002353C2"/>
    <w:rsid w:val="002443C8"/>
    <w:rsid w:val="002446B3"/>
    <w:rsid w:val="00256046"/>
    <w:rsid w:val="00277061"/>
    <w:rsid w:val="0028699E"/>
    <w:rsid w:val="00291B12"/>
    <w:rsid w:val="00295396"/>
    <w:rsid w:val="002A79B4"/>
    <w:rsid w:val="002B06D5"/>
    <w:rsid w:val="002B091F"/>
    <w:rsid w:val="002D173A"/>
    <w:rsid w:val="002D480F"/>
    <w:rsid w:val="002E428A"/>
    <w:rsid w:val="002E5555"/>
    <w:rsid w:val="002E7108"/>
    <w:rsid w:val="002F426D"/>
    <w:rsid w:val="00307A64"/>
    <w:rsid w:val="00322428"/>
    <w:rsid w:val="0032666D"/>
    <w:rsid w:val="00330E5C"/>
    <w:rsid w:val="00336CAD"/>
    <w:rsid w:val="0034274B"/>
    <w:rsid w:val="0034327A"/>
    <w:rsid w:val="00345256"/>
    <w:rsid w:val="00346C3E"/>
    <w:rsid w:val="00355EC9"/>
    <w:rsid w:val="00375DEE"/>
    <w:rsid w:val="003A1B2C"/>
    <w:rsid w:val="003A3C41"/>
    <w:rsid w:val="003A5F07"/>
    <w:rsid w:val="003B411E"/>
    <w:rsid w:val="003B4E7B"/>
    <w:rsid w:val="003B653C"/>
    <w:rsid w:val="003C2235"/>
    <w:rsid w:val="003D3DE2"/>
    <w:rsid w:val="003E09BB"/>
    <w:rsid w:val="003F0B71"/>
    <w:rsid w:val="003F11D2"/>
    <w:rsid w:val="00400477"/>
    <w:rsid w:val="004011A7"/>
    <w:rsid w:val="004069B4"/>
    <w:rsid w:val="00413B98"/>
    <w:rsid w:val="00415609"/>
    <w:rsid w:val="00416FA8"/>
    <w:rsid w:val="00424738"/>
    <w:rsid w:val="0042554F"/>
    <w:rsid w:val="00425816"/>
    <w:rsid w:val="00426294"/>
    <w:rsid w:val="00426B3B"/>
    <w:rsid w:val="00426F40"/>
    <w:rsid w:val="00432FF6"/>
    <w:rsid w:val="00436612"/>
    <w:rsid w:val="00441906"/>
    <w:rsid w:val="0044653C"/>
    <w:rsid w:val="00447087"/>
    <w:rsid w:val="00454D12"/>
    <w:rsid w:val="0046701E"/>
    <w:rsid w:val="004714AE"/>
    <w:rsid w:val="00472C11"/>
    <w:rsid w:val="004816A1"/>
    <w:rsid w:val="004857D2"/>
    <w:rsid w:val="00486860"/>
    <w:rsid w:val="004A5A55"/>
    <w:rsid w:val="004B6C3D"/>
    <w:rsid w:val="004C3C4A"/>
    <w:rsid w:val="004C58D2"/>
    <w:rsid w:val="004C75E0"/>
    <w:rsid w:val="004D0D5E"/>
    <w:rsid w:val="004D402A"/>
    <w:rsid w:val="004E7C0A"/>
    <w:rsid w:val="004F3F58"/>
    <w:rsid w:val="004F65A6"/>
    <w:rsid w:val="0050268D"/>
    <w:rsid w:val="00507BB9"/>
    <w:rsid w:val="005104AB"/>
    <w:rsid w:val="0052343A"/>
    <w:rsid w:val="00537543"/>
    <w:rsid w:val="00546C14"/>
    <w:rsid w:val="00552BFA"/>
    <w:rsid w:val="00577DB4"/>
    <w:rsid w:val="00582C1B"/>
    <w:rsid w:val="0059072E"/>
    <w:rsid w:val="00590844"/>
    <w:rsid w:val="00594741"/>
    <w:rsid w:val="005A166A"/>
    <w:rsid w:val="005A3E57"/>
    <w:rsid w:val="005A584B"/>
    <w:rsid w:val="005B39B8"/>
    <w:rsid w:val="005B4E2D"/>
    <w:rsid w:val="005B7340"/>
    <w:rsid w:val="005C3324"/>
    <w:rsid w:val="005C340E"/>
    <w:rsid w:val="005D018D"/>
    <w:rsid w:val="005D1F8F"/>
    <w:rsid w:val="005D30C6"/>
    <w:rsid w:val="005F5CC9"/>
    <w:rsid w:val="00600C61"/>
    <w:rsid w:val="00605B67"/>
    <w:rsid w:val="006079BE"/>
    <w:rsid w:val="00611637"/>
    <w:rsid w:val="00612460"/>
    <w:rsid w:val="0061626A"/>
    <w:rsid w:val="00622AD1"/>
    <w:rsid w:val="00627C14"/>
    <w:rsid w:val="00641AC4"/>
    <w:rsid w:val="00647537"/>
    <w:rsid w:val="0066081E"/>
    <w:rsid w:val="00662A6F"/>
    <w:rsid w:val="00665CB2"/>
    <w:rsid w:val="00666020"/>
    <w:rsid w:val="00667168"/>
    <w:rsid w:val="00670E5C"/>
    <w:rsid w:val="00671C54"/>
    <w:rsid w:val="0067458F"/>
    <w:rsid w:val="006747A1"/>
    <w:rsid w:val="00686487"/>
    <w:rsid w:val="00693A1C"/>
    <w:rsid w:val="006A0AA9"/>
    <w:rsid w:val="006B4761"/>
    <w:rsid w:val="006C1CE1"/>
    <w:rsid w:val="006D7FB2"/>
    <w:rsid w:val="006E4EFF"/>
    <w:rsid w:val="006E5623"/>
    <w:rsid w:val="006F1EB2"/>
    <w:rsid w:val="006F2B78"/>
    <w:rsid w:val="006F4A70"/>
    <w:rsid w:val="006F56FF"/>
    <w:rsid w:val="0070391F"/>
    <w:rsid w:val="00703DDD"/>
    <w:rsid w:val="00707FBA"/>
    <w:rsid w:val="00710DDC"/>
    <w:rsid w:val="00711880"/>
    <w:rsid w:val="00711F73"/>
    <w:rsid w:val="007147B8"/>
    <w:rsid w:val="00715F01"/>
    <w:rsid w:val="007309CC"/>
    <w:rsid w:val="0075736D"/>
    <w:rsid w:val="00762607"/>
    <w:rsid w:val="0076318E"/>
    <w:rsid w:val="00770712"/>
    <w:rsid w:val="007717FC"/>
    <w:rsid w:val="007752A3"/>
    <w:rsid w:val="00777C89"/>
    <w:rsid w:val="00783D37"/>
    <w:rsid w:val="007876E3"/>
    <w:rsid w:val="007934F0"/>
    <w:rsid w:val="00794BD1"/>
    <w:rsid w:val="007A09DE"/>
    <w:rsid w:val="007A1F28"/>
    <w:rsid w:val="007B4D6B"/>
    <w:rsid w:val="007B4D7E"/>
    <w:rsid w:val="007B52F6"/>
    <w:rsid w:val="007C7A08"/>
    <w:rsid w:val="007D428E"/>
    <w:rsid w:val="007D7AEF"/>
    <w:rsid w:val="007E0C30"/>
    <w:rsid w:val="007E10C1"/>
    <w:rsid w:val="007E3E8D"/>
    <w:rsid w:val="007E4087"/>
    <w:rsid w:val="007E651A"/>
    <w:rsid w:val="0080201F"/>
    <w:rsid w:val="00802695"/>
    <w:rsid w:val="00826FC8"/>
    <w:rsid w:val="00827EEC"/>
    <w:rsid w:val="008331E0"/>
    <w:rsid w:val="0083382C"/>
    <w:rsid w:val="00843FD3"/>
    <w:rsid w:val="008473FA"/>
    <w:rsid w:val="008530CC"/>
    <w:rsid w:val="00853E13"/>
    <w:rsid w:val="00866383"/>
    <w:rsid w:val="008663D9"/>
    <w:rsid w:val="00866A72"/>
    <w:rsid w:val="008773A2"/>
    <w:rsid w:val="00893C5F"/>
    <w:rsid w:val="008A3D3D"/>
    <w:rsid w:val="008A4AB1"/>
    <w:rsid w:val="008B0197"/>
    <w:rsid w:val="008B04E4"/>
    <w:rsid w:val="008B112E"/>
    <w:rsid w:val="008B1F10"/>
    <w:rsid w:val="008B6E28"/>
    <w:rsid w:val="008C08C5"/>
    <w:rsid w:val="008C2399"/>
    <w:rsid w:val="008C3778"/>
    <w:rsid w:val="008D0C69"/>
    <w:rsid w:val="008E0010"/>
    <w:rsid w:val="008E676F"/>
    <w:rsid w:val="008E7026"/>
    <w:rsid w:val="008E77E9"/>
    <w:rsid w:val="008F611D"/>
    <w:rsid w:val="0090270F"/>
    <w:rsid w:val="00902E81"/>
    <w:rsid w:val="00904444"/>
    <w:rsid w:val="00927EB6"/>
    <w:rsid w:val="0094177F"/>
    <w:rsid w:val="00943A8A"/>
    <w:rsid w:val="00947466"/>
    <w:rsid w:val="009551B2"/>
    <w:rsid w:val="00956B8A"/>
    <w:rsid w:val="009617B7"/>
    <w:rsid w:val="009634FA"/>
    <w:rsid w:val="00963AC7"/>
    <w:rsid w:val="009670C1"/>
    <w:rsid w:val="00972C9A"/>
    <w:rsid w:val="00974FF0"/>
    <w:rsid w:val="0098082C"/>
    <w:rsid w:val="00993EE6"/>
    <w:rsid w:val="009961AC"/>
    <w:rsid w:val="009A0F92"/>
    <w:rsid w:val="009B065B"/>
    <w:rsid w:val="009C0D9C"/>
    <w:rsid w:val="009C73FF"/>
    <w:rsid w:val="009E27F9"/>
    <w:rsid w:val="009E3991"/>
    <w:rsid w:val="009F45DA"/>
    <w:rsid w:val="009F49ED"/>
    <w:rsid w:val="009F64A8"/>
    <w:rsid w:val="00A052C2"/>
    <w:rsid w:val="00A074B3"/>
    <w:rsid w:val="00A10B1F"/>
    <w:rsid w:val="00A119EF"/>
    <w:rsid w:val="00A24FB1"/>
    <w:rsid w:val="00A3094B"/>
    <w:rsid w:val="00A3202F"/>
    <w:rsid w:val="00A35FFA"/>
    <w:rsid w:val="00A5416B"/>
    <w:rsid w:val="00A54B12"/>
    <w:rsid w:val="00A55B87"/>
    <w:rsid w:val="00A60BD4"/>
    <w:rsid w:val="00A65AAE"/>
    <w:rsid w:val="00A70087"/>
    <w:rsid w:val="00A835B8"/>
    <w:rsid w:val="00A90658"/>
    <w:rsid w:val="00A91F4B"/>
    <w:rsid w:val="00A9518D"/>
    <w:rsid w:val="00AA76B9"/>
    <w:rsid w:val="00AB070D"/>
    <w:rsid w:val="00AB46AF"/>
    <w:rsid w:val="00AC1BA7"/>
    <w:rsid w:val="00AD6FB8"/>
    <w:rsid w:val="00AE1EFC"/>
    <w:rsid w:val="00AF38E9"/>
    <w:rsid w:val="00AF3E96"/>
    <w:rsid w:val="00AF4D38"/>
    <w:rsid w:val="00AF5265"/>
    <w:rsid w:val="00AF5A7F"/>
    <w:rsid w:val="00B15026"/>
    <w:rsid w:val="00B178A7"/>
    <w:rsid w:val="00B24593"/>
    <w:rsid w:val="00B301A4"/>
    <w:rsid w:val="00B30501"/>
    <w:rsid w:val="00B343B4"/>
    <w:rsid w:val="00B42FC5"/>
    <w:rsid w:val="00B52238"/>
    <w:rsid w:val="00B52716"/>
    <w:rsid w:val="00B75F25"/>
    <w:rsid w:val="00B8024A"/>
    <w:rsid w:val="00B81CC8"/>
    <w:rsid w:val="00B83878"/>
    <w:rsid w:val="00B84111"/>
    <w:rsid w:val="00B84A25"/>
    <w:rsid w:val="00B94112"/>
    <w:rsid w:val="00B953D1"/>
    <w:rsid w:val="00BA1746"/>
    <w:rsid w:val="00BA240A"/>
    <w:rsid w:val="00BA52E1"/>
    <w:rsid w:val="00BA76F7"/>
    <w:rsid w:val="00BB12D5"/>
    <w:rsid w:val="00BB45BA"/>
    <w:rsid w:val="00BC4FE2"/>
    <w:rsid w:val="00BC7351"/>
    <w:rsid w:val="00BE36E3"/>
    <w:rsid w:val="00BE459D"/>
    <w:rsid w:val="00BF48B5"/>
    <w:rsid w:val="00BF5B71"/>
    <w:rsid w:val="00C02BE1"/>
    <w:rsid w:val="00C15D28"/>
    <w:rsid w:val="00C31447"/>
    <w:rsid w:val="00C35EB4"/>
    <w:rsid w:val="00C3620E"/>
    <w:rsid w:val="00C412A6"/>
    <w:rsid w:val="00C437CD"/>
    <w:rsid w:val="00C54F8C"/>
    <w:rsid w:val="00C65281"/>
    <w:rsid w:val="00C70F00"/>
    <w:rsid w:val="00C752DF"/>
    <w:rsid w:val="00C754D4"/>
    <w:rsid w:val="00C81F13"/>
    <w:rsid w:val="00C915A7"/>
    <w:rsid w:val="00C93609"/>
    <w:rsid w:val="00CA0544"/>
    <w:rsid w:val="00CA52C7"/>
    <w:rsid w:val="00CB26A5"/>
    <w:rsid w:val="00CC2144"/>
    <w:rsid w:val="00CD2846"/>
    <w:rsid w:val="00CD3E2F"/>
    <w:rsid w:val="00CD5E04"/>
    <w:rsid w:val="00CE6423"/>
    <w:rsid w:val="00CF4167"/>
    <w:rsid w:val="00D1397C"/>
    <w:rsid w:val="00D25857"/>
    <w:rsid w:val="00D35387"/>
    <w:rsid w:val="00D4679D"/>
    <w:rsid w:val="00D4790B"/>
    <w:rsid w:val="00D51954"/>
    <w:rsid w:val="00D52E05"/>
    <w:rsid w:val="00D52F1F"/>
    <w:rsid w:val="00D63272"/>
    <w:rsid w:val="00D918F7"/>
    <w:rsid w:val="00D95409"/>
    <w:rsid w:val="00D96116"/>
    <w:rsid w:val="00D9642C"/>
    <w:rsid w:val="00DA5AE0"/>
    <w:rsid w:val="00DB4C2D"/>
    <w:rsid w:val="00DC17B0"/>
    <w:rsid w:val="00DC1AC8"/>
    <w:rsid w:val="00DD13FB"/>
    <w:rsid w:val="00DE17BB"/>
    <w:rsid w:val="00DE2CE8"/>
    <w:rsid w:val="00DE3EBC"/>
    <w:rsid w:val="00E02854"/>
    <w:rsid w:val="00E04E8D"/>
    <w:rsid w:val="00E13D3B"/>
    <w:rsid w:val="00E14514"/>
    <w:rsid w:val="00E2004F"/>
    <w:rsid w:val="00E20773"/>
    <w:rsid w:val="00E208EB"/>
    <w:rsid w:val="00E24493"/>
    <w:rsid w:val="00E24DEC"/>
    <w:rsid w:val="00E27196"/>
    <w:rsid w:val="00E32E7E"/>
    <w:rsid w:val="00E366F1"/>
    <w:rsid w:val="00E414DA"/>
    <w:rsid w:val="00E43D26"/>
    <w:rsid w:val="00E47109"/>
    <w:rsid w:val="00E54282"/>
    <w:rsid w:val="00E56B79"/>
    <w:rsid w:val="00E64446"/>
    <w:rsid w:val="00E66410"/>
    <w:rsid w:val="00E84990"/>
    <w:rsid w:val="00E87A9E"/>
    <w:rsid w:val="00E91907"/>
    <w:rsid w:val="00EA0F56"/>
    <w:rsid w:val="00EC4056"/>
    <w:rsid w:val="00EC432B"/>
    <w:rsid w:val="00ED17C0"/>
    <w:rsid w:val="00ED1B44"/>
    <w:rsid w:val="00ED1F69"/>
    <w:rsid w:val="00EE1134"/>
    <w:rsid w:val="00EE4335"/>
    <w:rsid w:val="00EE43EC"/>
    <w:rsid w:val="00EE5883"/>
    <w:rsid w:val="00EF1AEC"/>
    <w:rsid w:val="00EF7252"/>
    <w:rsid w:val="00F04C0E"/>
    <w:rsid w:val="00F0538C"/>
    <w:rsid w:val="00F14581"/>
    <w:rsid w:val="00F2043E"/>
    <w:rsid w:val="00F209D0"/>
    <w:rsid w:val="00F210DC"/>
    <w:rsid w:val="00F22F63"/>
    <w:rsid w:val="00F2390E"/>
    <w:rsid w:val="00F23D9B"/>
    <w:rsid w:val="00F251E8"/>
    <w:rsid w:val="00F425ED"/>
    <w:rsid w:val="00F52F4A"/>
    <w:rsid w:val="00F56084"/>
    <w:rsid w:val="00F6575E"/>
    <w:rsid w:val="00F66AC0"/>
    <w:rsid w:val="00F77FBE"/>
    <w:rsid w:val="00F80551"/>
    <w:rsid w:val="00F80773"/>
    <w:rsid w:val="00F824C7"/>
    <w:rsid w:val="00F84F7E"/>
    <w:rsid w:val="00F85E16"/>
    <w:rsid w:val="00FA4BFA"/>
    <w:rsid w:val="00FA5E77"/>
    <w:rsid w:val="00FB0114"/>
    <w:rsid w:val="00FB4F6B"/>
    <w:rsid w:val="00FB60EB"/>
    <w:rsid w:val="00FC51CA"/>
    <w:rsid w:val="00FE0773"/>
    <w:rsid w:val="00FE45DB"/>
    <w:rsid w:val="00FF70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E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120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D3DE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D3D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3D3DE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13D3B"/>
    <w:pPr>
      <w:pBdr>
        <w:bottom w:val="single" w:sz="6" w:space="1" w:color="5B9BD5" w:themeColor="accent1"/>
      </w:pBdr>
      <w:spacing w:before="200" w:after="0" w:line="276" w:lineRule="auto"/>
      <w:outlineLvl w:val="4"/>
    </w:pPr>
    <w:rPr>
      <w:rFonts w:eastAsiaTheme="minorEastAsia"/>
      <w:caps/>
      <w:color w:val="2E74B5" w:themeColor="accent1" w:themeShade="BF"/>
      <w:spacing w:val="10"/>
      <w:sz w:val="20"/>
      <w:szCs w:val="20"/>
    </w:rPr>
  </w:style>
  <w:style w:type="paragraph" w:styleId="Heading6">
    <w:name w:val="heading 6"/>
    <w:basedOn w:val="Normal"/>
    <w:next w:val="Normal"/>
    <w:link w:val="Heading6Char"/>
    <w:uiPriority w:val="9"/>
    <w:unhideWhenUsed/>
    <w:qFormat/>
    <w:rsid w:val="00E13D3B"/>
    <w:pPr>
      <w:pBdr>
        <w:bottom w:val="dotted" w:sz="6" w:space="1" w:color="5B9BD5" w:themeColor="accent1"/>
      </w:pBdr>
      <w:spacing w:before="200" w:after="0" w:line="276" w:lineRule="auto"/>
      <w:outlineLvl w:val="5"/>
    </w:pPr>
    <w:rPr>
      <w:rFonts w:eastAsiaTheme="minorEastAsia"/>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E13D3B"/>
    <w:pPr>
      <w:spacing w:before="200" w:after="0" w:line="276" w:lineRule="auto"/>
      <w:outlineLvl w:val="6"/>
    </w:pPr>
    <w:rPr>
      <w:rFonts w:eastAsiaTheme="minorEastAsia"/>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E13D3B"/>
    <w:pPr>
      <w:spacing w:before="200" w:after="0" w:line="276" w:lineRule="auto"/>
      <w:outlineLvl w:val="7"/>
    </w:pPr>
    <w:rPr>
      <w:rFonts w:eastAsiaTheme="minorEastAsia"/>
      <w:caps/>
      <w:spacing w:val="10"/>
      <w:sz w:val="18"/>
      <w:szCs w:val="18"/>
    </w:rPr>
  </w:style>
  <w:style w:type="paragraph" w:styleId="Heading9">
    <w:name w:val="heading 9"/>
    <w:basedOn w:val="Normal"/>
    <w:next w:val="Normal"/>
    <w:link w:val="Heading9Char"/>
    <w:uiPriority w:val="9"/>
    <w:semiHidden/>
    <w:unhideWhenUsed/>
    <w:qFormat/>
    <w:rsid w:val="00E13D3B"/>
    <w:pPr>
      <w:spacing w:before="200" w:after="0" w:line="276" w:lineRule="auto"/>
      <w:outlineLvl w:val="8"/>
    </w:pPr>
    <w:rPr>
      <w:rFonts w:eastAsiaTheme="minorEastAsia"/>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0A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D3DE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D3DE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3D3DE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E13D3B"/>
    <w:rPr>
      <w:rFonts w:eastAsiaTheme="minorEastAsia"/>
      <w:caps/>
      <w:color w:val="2E74B5" w:themeColor="accent1" w:themeShade="BF"/>
      <w:spacing w:val="10"/>
      <w:sz w:val="20"/>
      <w:szCs w:val="20"/>
    </w:rPr>
  </w:style>
  <w:style w:type="character" w:customStyle="1" w:styleId="Heading6Char">
    <w:name w:val="Heading 6 Char"/>
    <w:basedOn w:val="DefaultParagraphFont"/>
    <w:link w:val="Heading6"/>
    <w:uiPriority w:val="9"/>
    <w:rsid w:val="00E13D3B"/>
    <w:rPr>
      <w:rFonts w:eastAsiaTheme="minorEastAsia"/>
      <w:caps/>
      <w:color w:val="2E74B5" w:themeColor="accent1" w:themeShade="BF"/>
      <w:spacing w:val="10"/>
      <w:sz w:val="20"/>
      <w:szCs w:val="20"/>
    </w:rPr>
  </w:style>
  <w:style w:type="character" w:customStyle="1" w:styleId="Heading7Char">
    <w:name w:val="Heading 7 Char"/>
    <w:basedOn w:val="DefaultParagraphFont"/>
    <w:link w:val="Heading7"/>
    <w:uiPriority w:val="9"/>
    <w:semiHidden/>
    <w:rsid w:val="00E13D3B"/>
    <w:rPr>
      <w:rFonts w:eastAsiaTheme="minorEastAsia"/>
      <w:caps/>
      <w:color w:val="2E74B5" w:themeColor="accent1" w:themeShade="BF"/>
      <w:spacing w:val="10"/>
      <w:sz w:val="20"/>
      <w:szCs w:val="20"/>
    </w:rPr>
  </w:style>
  <w:style w:type="character" w:customStyle="1" w:styleId="Heading8Char">
    <w:name w:val="Heading 8 Char"/>
    <w:basedOn w:val="DefaultParagraphFont"/>
    <w:link w:val="Heading8"/>
    <w:uiPriority w:val="9"/>
    <w:semiHidden/>
    <w:rsid w:val="00E13D3B"/>
    <w:rPr>
      <w:rFonts w:eastAsiaTheme="minorEastAsia"/>
      <w:caps/>
      <w:spacing w:val="10"/>
      <w:sz w:val="18"/>
      <w:szCs w:val="18"/>
    </w:rPr>
  </w:style>
  <w:style w:type="character" w:customStyle="1" w:styleId="Heading9Char">
    <w:name w:val="Heading 9 Char"/>
    <w:basedOn w:val="DefaultParagraphFont"/>
    <w:link w:val="Heading9"/>
    <w:uiPriority w:val="9"/>
    <w:semiHidden/>
    <w:rsid w:val="00E13D3B"/>
    <w:rPr>
      <w:rFonts w:eastAsiaTheme="minorEastAsia"/>
      <w:i/>
      <w:iCs/>
      <w:caps/>
      <w:spacing w:val="10"/>
      <w:sz w:val="18"/>
      <w:szCs w:val="18"/>
    </w:rPr>
  </w:style>
  <w:style w:type="paragraph" w:styleId="Footer">
    <w:name w:val="footer"/>
    <w:basedOn w:val="Normal"/>
    <w:link w:val="FooterChar"/>
    <w:uiPriority w:val="99"/>
    <w:unhideWhenUsed/>
    <w:rsid w:val="001A40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40D8"/>
  </w:style>
  <w:style w:type="paragraph" w:styleId="ListParagraph">
    <w:name w:val="List Paragraph"/>
    <w:basedOn w:val="Normal"/>
    <w:link w:val="ListParagraphChar"/>
    <w:uiPriority w:val="34"/>
    <w:qFormat/>
    <w:rsid w:val="001120A5"/>
    <w:pPr>
      <w:ind w:left="720"/>
      <w:contextualSpacing/>
    </w:pPr>
  </w:style>
  <w:style w:type="character" w:customStyle="1" w:styleId="ListParagraphChar">
    <w:name w:val="List Paragraph Char"/>
    <w:link w:val="ListParagraph"/>
    <w:uiPriority w:val="34"/>
    <w:locked/>
    <w:rsid w:val="00E13D3B"/>
  </w:style>
  <w:style w:type="paragraph" w:styleId="FootnoteText">
    <w:name w:val="footnote text"/>
    <w:aliases w:val="Texto nota pie Car Car Car,FOOTNOTES,fn,single space,Footnote Text Char Char Char,Footnote Text1 Char,Footnote Text2,Footnote Text Char Char Char1 Char,Footnote Text Char Char Char1,ft,ADB,ALTS FOOTNOTE,footnote text,Footnote ak,Footnotes"/>
    <w:basedOn w:val="Normal"/>
    <w:link w:val="FootnoteTextChar"/>
    <w:uiPriority w:val="99"/>
    <w:unhideWhenUsed/>
    <w:qFormat/>
    <w:rsid w:val="001120A5"/>
    <w:pPr>
      <w:spacing w:after="0" w:line="240" w:lineRule="auto"/>
    </w:pPr>
    <w:rPr>
      <w:sz w:val="20"/>
      <w:szCs w:val="20"/>
    </w:rPr>
  </w:style>
  <w:style w:type="character" w:customStyle="1" w:styleId="FootnoteTextChar">
    <w:name w:val="Footnote Text Char"/>
    <w:aliases w:val="Texto nota pie Car Car Car Char,FOOTNOTES Char,fn Char,single space Char,Footnote Text Char Char Char Char,Footnote Text1 Char Char,Footnote Text2 Char,Footnote Text Char Char Char1 Char Char,Footnote Text Char Char Char1 Char1"/>
    <w:basedOn w:val="DefaultParagraphFont"/>
    <w:link w:val="FootnoteText"/>
    <w:uiPriority w:val="99"/>
    <w:rsid w:val="001120A5"/>
    <w:rPr>
      <w:sz w:val="20"/>
      <w:szCs w:val="20"/>
    </w:rPr>
  </w:style>
  <w:style w:type="character" w:styleId="FootnoteReference">
    <w:name w:val="footnote reference"/>
    <w:aliases w:val="16 Point,Superscript 6 Point,Superscript 6 Point + 11 pt,ftref,BVI fnr,BVI fnr Car Car,BVI fnr Car,BVI fnr Car Car Car Car,Footnote text,Footnote,Footnote symbol,Знак сноски 1,Ciae niinee 1"/>
    <w:basedOn w:val="DefaultParagraphFont"/>
    <w:uiPriority w:val="99"/>
    <w:unhideWhenUsed/>
    <w:qFormat/>
    <w:rsid w:val="001120A5"/>
    <w:rPr>
      <w:vertAlign w:val="superscript"/>
    </w:rPr>
  </w:style>
  <w:style w:type="table" w:customStyle="1" w:styleId="PlainTable21">
    <w:name w:val="Plain Table 21"/>
    <w:basedOn w:val="TableNormal"/>
    <w:uiPriority w:val="42"/>
    <w:rsid w:val="00605B67"/>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OCHeading">
    <w:name w:val="TOC Heading"/>
    <w:basedOn w:val="Heading1"/>
    <w:next w:val="Normal"/>
    <w:uiPriority w:val="39"/>
    <w:unhideWhenUsed/>
    <w:qFormat/>
    <w:rsid w:val="003D3DE2"/>
    <w:pPr>
      <w:outlineLvl w:val="9"/>
    </w:pPr>
    <w:rPr>
      <w:lang w:val="en-US"/>
    </w:rPr>
  </w:style>
  <w:style w:type="paragraph" w:styleId="TOC1">
    <w:name w:val="toc 1"/>
    <w:basedOn w:val="Normal"/>
    <w:next w:val="Normal"/>
    <w:autoRedefine/>
    <w:uiPriority w:val="39"/>
    <w:unhideWhenUsed/>
    <w:rsid w:val="00291B12"/>
    <w:pPr>
      <w:tabs>
        <w:tab w:val="right" w:leader="dot" w:pos="9016"/>
      </w:tabs>
      <w:spacing w:after="100"/>
    </w:pPr>
    <w:rPr>
      <w:rFonts w:ascii="Times New Roman" w:hAnsi="Times New Roman" w:cs="Times New Roman"/>
      <w:b/>
      <w:noProof/>
    </w:rPr>
  </w:style>
  <w:style w:type="paragraph" w:styleId="TOC2">
    <w:name w:val="toc 2"/>
    <w:basedOn w:val="Normal"/>
    <w:next w:val="Normal"/>
    <w:autoRedefine/>
    <w:uiPriority w:val="39"/>
    <w:unhideWhenUsed/>
    <w:rsid w:val="003D3DE2"/>
    <w:pPr>
      <w:spacing w:after="100"/>
      <w:ind w:left="220"/>
    </w:pPr>
  </w:style>
  <w:style w:type="paragraph" w:styleId="TOC3">
    <w:name w:val="toc 3"/>
    <w:basedOn w:val="Normal"/>
    <w:next w:val="Normal"/>
    <w:autoRedefine/>
    <w:uiPriority w:val="39"/>
    <w:unhideWhenUsed/>
    <w:rsid w:val="003D3DE2"/>
    <w:pPr>
      <w:spacing w:after="100"/>
      <w:ind w:left="440"/>
    </w:pPr>
  </w:style>
  <w:style w:type="character" w:styleId="Hyperlink">
    <w:name w:val="Hyperlink"/>
    <w:basedOn w:val="DefaultParagraphFont"/>
    <w:uiPriority w:val="99"/>
    <w:unhideWhenUsed/>
    <w:rsid w:val="003D3DE2"/>
    <w:rPr>
      <w:color w:val="0563C1" w:themeColor="hyperlink"/>
      <w:u w:val="single"/>
    </w:rPr>
  </w:style>
  <w:style w:type="table" w:customStyle="1" w:styleId="PlainTable210">
    <w:name w:val="Plain Table 21"/>
    <w:basedOn w:val="TableNormal"/>
    <w:uiPriority w:val="42"/>
    <w:rsid w:val="00E13D3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link w:val="NoSpacingChar"/>
    <w:uiPriority w:val="1"/>
    <w:qFormat/>
    <w:rsid w:val="00E13D3B"/>
    <w:pPr>
      <w:spacing w:after="0" w:line="240" w:lineRule="auto"/>
    </w:pPr>
    <w:rPr>
      <w:lang w:val="en-US"/>
    </w:rPr>
  </w:style>
  <w:style w:type="character" w:customStyle="1" w:styleId="NoSpacingChar">
    <w:name w:val="No Spacing Char"/>
    <w:basedOn w:val="DefaultParagraphFont"/>
    <w:link w:val="NoSpacing"/>
    <w:uiPriority w:val="1"/>
    <w:rsid w:val="00E13D3B"/>
    <w:rPr>
      <w:lang w:val="en-US"/>
    </w:rPr>
  </w:style>
  <w:style w:type="paragraph" w:styleId="EndnoteText">
    <w:name w:val="endnote text"/>
    <w:basedOn w:val="Normal"/>
    <w:link w:val="EndnoteTextChar"/>
    <w:uiPriority w:val="99"/>
    <w:semiHidden/>
    <w:unhideWhenUsed/>
    <w:rsid w:val="00E13D3B"/>
    <w:pPr>
      <w:spacing w:after="0" w:line="240" w:lineRule="auto"/>
    </w:pPr>
    <w:rPr>
      <w:rFonts w:eastAsiaTheme="minorEastAsia"/>
      <w:sz w:val="20"/>
      <w:szCs w:val="20"/>
      <w:lang w:eastAsia="en-GB"/>
    </w:rPr>
  </w:style>
  <w:style w:type="character" w:customStyle="1" w:styleId="EndnoteTextChar">
    <w:name w:val="Endnote Text Char"/>
    <w:basedOn w:val="DefaultParagraphFont"/>
    <w:link w:val="EndnoteText"/>
    <w:uiPriority w:val="99"/>
    <w:semiHidden/>
    <w:rsid w:val="00E13D3B"/>
    <w:rPr>
      <w:rFonts w:eastAsiaTheme="minorEastAsia"/>
      <w:sz w:val="20"/>
      <w:szCs w:val="20"/>
      <w:lang w:eastAsia="en-GB"/>
    </w:rPr>
  </w:style>
  <w:style w:type="paragraph" w:styleId="BodyText2">
    <w:name w:val="Body Text 2"/>
    <w:aliases w:val="Body Text 2 Char1, Char Char Char Char Char Char, Char Char,Body Text 2 Char Char, Char Char Char Char1 Char, Char Char Char2 Char Char, Char Char Char2 Char Char Char Char Char Char, Char, Char Char Char Char1"/>
    <w:basedOn w:val="Normal"/>
    <w:link w:val="BodyText2Char2"/>
    <w:rsid w:val="00E13D3B"/>
    <w:pPr>
      <w:spacing w:after="0" w:line="480" w:lineRule="auto"/>
      <w:jc w:val="both"/>
    </w:pPr>
    <w:rPr>
      <w:rFonts w:ascii="Times New Roman" w:eastAsia="Times New Roman" w:hAnsi="Times New Roman" w:cs="Times New Roman"/>
      <w:sz w:val="24"/>
      <w:szCs w:val="24"/>
    </w:rPr>
  </w:style>
  <w:style w:type="character" w:customStyle="1" w:styleId="BodyText2Char2">
    <w:name w:val="Body Text 2 Char2"/>
    <w:aliases w:val="Body Text 2 Char1 Char, Char Char Char Char Char Char Char, Char Char Char,Body Text 2 Char Char Char, Char Char Char Char1 Char Char, Char Char Char2 Char Char Char, Char Char Char2 Char Char Char Char Char Char Char, Char Char1"/>
    <w:basedOn w:val="DefaultParagraphFont"/>
    <w:link w:val="BodyText2"/>
    <w:rsid w:val="00E13D3B"/>
    <w:rPr>
      <w:rFonts w:ascii="Times New Roman" w:eastAsia="Times New Roman" w:hAnsi="Times New Roman" w:cs="Times New Roman"/>
      <w:sz w:val="24"/>
      <w:szCs w:val="24"/>
    </w:rPr>
  </w:style>
  <w:style w:type="character" w:customStyle="1" w:styleId="BodyText2Char">
    <w:name w:val="Body Text 2 Char"/>
    <w:basedOn w:val="DefaultParagraphFont"/>
    <w:uiPriority w:val="99"/>
    <w:semiHidden/>
    <w:rsid w:val="00E13D3B"/>
  </w:style>
  <w:style w:type="paragraph" w:styleId="Header">
    <w:name w:val="header"/>
    <w:basedOn w:val="Normal"/>
    <w:link w:val="HeaderChar"/>
    <w:uiPriority w:val="99"/>
    <w:unhideWhenUsed/>
    <w:rsid w:val="00E13D3B"/>
    <w:pPr>
      <w:tabs>
        <w:tab w:val="center" w:pos="4513"/>
        <w:tab w:val="right" w:pos="9026"/>
      </w:tabs>
      <w:spacing w:before="100" w:after="0" w:line="240" w:lineRule="auto"/>
    </w:pPr>
    <w:rPr>
      <w:rFonts w:eastAsiaTheme="minorEastAsia"/>
      <w:sz w:val="20"/>
      <w:szCs w:val="20"/>
    </w:rPr>
  </w:style>
  <w:style w:type="character" w:customStyle="1" w:styleId="HeaderChar">
    <w:name w:val="Header Char"/>
    <w:basedOn w:val="DefaultParagraphFont"/>
    <w:link w:val="Header"/>
    <w:uiPriority w:val="99"/>
    <w:rsid w:val="00E13D3B"/>
    <w:rPr>
      <w:rFonts w:eastAsiaTheme="minorEastAsia"/>
      <w:sz w:val="20"/>
      <w:szCs w:val="20"/>
    </w:rPr>
  </w:style>
  <w:style w:type="paragraph" w:customStyle="1" w:styleId="Default">
    <w:name w:val="Default"/>
    <w:rsid w:val="00E13D3B"/>
    <w:pPr>
      <w:autoSpaceDE w:val="0"/>
      <w:autoSpaceDN w:val="0"/>
      <w:adjustRightInd w:val="0"/>
      <w:spacing w:before="100" w:after="0" w:line="240" w:lineRule="auto"/>
    </w:pPr>
    <w:rPr>
      <w:rFonts w:ascii="Times New Roman" w:eastAsiaTheme="minorEastAsia" w:hAnsi="Times New Roman" w:cs="Times New Roman"/>
      <w:color w:val="000000"/>
      <w:sz w:val="24"/>
      <w:szCs w:val="24"/>
    </w:rPr>
  </w:style>
  <w:style w:type="paragraph" w:styleId="Title">
    <w:name w:val="Title"/>
    <w:basedOn w:val="Normal"/>
    <w:next w:val="Normal"/>
    <w:link w:val="TitleChar"/>
    <w:uiPriority w:val="10"/>
    <w:qFormat/>
    <w:rsid w:val="00E13D3B"/>
    <w:pPr>
      <w:spacing w:after="0" w:line="276" w:lineRule="auto"/>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E13D3B"/>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E13D3B"/>
    <w:pPr>
      <w:spacing w:after="500" w:line="240" w:lineRule="auto"/>
    </w:pPr>
    <w:rPr>
      <w:rFonts w:eastAsiaTheme="minorEastAsia"/>
      <w:caps/>
      <w:color w:val="595959" w:themeColor="text1" w:themeTint="A6"/>
      <w:spacing w:val="10"/>
      <w:sz w:val="21"/>
      <w:szCs w:val="21"/>
    </w:rPr>
  </w:style>
  <w:style w:type="character" w:customStyle="1" w:styleId="SubtitleChar">
    <w:name w:val="Subtitle Char"/>
    <w:basedOn w:val="DefaultParagraphFont"/>
    <w:link w:val="Subtitle"/>
    <w:uiPriority w:val="11"/>
    <w:rsid w:val="00E13D3B"/>
    <w:rPr>
      <w:rFonts w:eastAsiaTheme="minorEastAsia"/>
      <w:caps/>
      <w:color w:val="595959" w:themeColor="text1" w:themeTint="A6"/>
      <w:spacing w:val="10"/>
      <w:sz w:val="21"/>
      <w:szCs w:val="21"/>
    </w:rPr>
  </w:style>
  <w:style w:type="character" w:styleId="Strong">
    <w:name w:val="Strong"/>
    <w:uiPriority w:val="22"/>
    <w:qFormat/>
    <w:rsid w:val="00E13D3B"/>
    <w:rPr>
      <w:b/>
      <w:bCs/>
    </w:rPr>
  </w:style>
  <w:style w:type="character" w:styleId="Emphasis">
    <w:name w:val="Emphasis"/>
    <w:uiPriority w:val="20"/>
    <w:qFormat/>
    <w:rsid w:val="00E13D3B"/>
    <w:rPr>
      <w:caps/>
      <w:color w:val="1F4D78" w:themeColor="accent1" w:themeShade="7F"/>
      <w:spacing w:val="5"/>
    </w:rPr>
  </w:style>
  <w:style w:type="paragraph" w:styleId="Quote">
    <w:name w:val="Quote"/>
    <w:basedOn w:val="Normal"/>
    <w:next w:val="Normal"/>
    <w:link w:val="QuoteChar"/>
    <w:uiPriority w:val="29"/>
    <w:qFormat/>
    <w:rsid w:val="00E13D3B"/>
    <w:pPr>
      <w:spacing w:before="100" w:after="200" w:line="276" w:lineRule="auto"/>
    </w:pPr>
    <w:rPr>
      <w:rFonts w:eastAsiaTheme="minorEastAsia"/>
      <w:i/>
      <w:iCs/>
      <w:sz w:val="24"/>
      <w:szCs w:val="24"/>
    </w:rPr>
  </w:style>
  <w:style w:type="character" w:customStyle="1" w:styleId="QuoteChar">
    <w:name w:val="Quote Char"/>
    <w:basedOn w:val="DefaultParagraphFont"/>
    <w:link w:val="Quote"/>
    <w:uiPriority w:val="29"/>
    <w:rsid w:val="00E13D3B"/>
    <w:rPr>
      <w:rFonts w:eastAsiaTheme="minorEastAsia"/>
      <w:i/>
      <w:iCs/>
      <w:sz w:val="24"/>
      <w:szCs w:val="24"/>
    </w:rPr>
  </w:style>
  <w:style w:type="paragraph" w:styleId="IntenseQuote">
    <w:name w:val="Intense Quote"/>
    <w:basedOn w:val="Normal"/>
    <w:next w:val="Normal"/>
    <w:link w:val="IntenseQuoteChar"/>
    <w:uiPriority w:val="30"/>
    <w:qFormat/>
    <w:rsid w:val="00E13D3B"/>
    <w:pPr>
      <w:spacing w:before="240" w:after="240" w:line="240" w:lineRule="auto"/>
      <w:ind w:left="1080" w:right="1080"/>
      <w:jc w:val="center"/>
    </w:pPr>
    <w:rPr>
      <w:rFonts w:eastAsiaTheme="minorEastAsia"/>
      <w:color w:val="5B9BD5" w:themeColor="accent1"/>
      <w:sz w:val="24"/>
      <w:szCs w:val="24"/>
    </w:rPr>
  </w:style>
  <w:style w:type="character" w:customStyle="1" w:styleId="IntenseQuoteChar">
    <w:name w:val="Intense Quote Char"/>
    <w:basedOn w:val="DefaultParagraphFont"/>
    <w:link w:val="IntenseQuote"/>
    <w:uiPriority w:val="30"/>
    <w:rsid w:val="00E13D3B"/>
    <w:rPr>
      <w:rFonts w:eastAsiaTheme="minorEastAsia"/>
      <w:color w:val="5B9BD5" w:themeColor="accent1"/>
      <w:sz w:val="24"/>
      <w:szCs w:val="24"/>
    </w:rPr>
  </w:style>
  <w:style w:type="character" w:styleId="SubtleEmphasis">
    <w:name w:val="Subtle Emphasis"/>
    <w:uiPriority w:val="19"/>
    <w:qFormat/>
    <w:rsid w:val="00E13D3B"/>
    <w:rPr>
      <w:i/>
      <w:iCs/>
      <w:color w:val="1F4D78" w:themeColor="accent1" w:themeShade="7F"/>
    </w:rPr>
  </w:style>
  <w:style w:type="character" w:styleId="IntenseEmphasis">
    <w:name w:val="Intense Emphasis"/>
    <w:uiPriority w:val="21"/>
    <w:qFormat/>
    <w:rsid w:val="00E13D3B"/>
    <w:rPr>
      <w:b/>
      <w:bCs/>
      <w:caps/>
      <w:color w:val="1F4D78" w:themeColor="accent1" w:themeShade="7F"/>
      <w:spacing w:val="10"/>
    </w:rPr>
  </w:style>
  <w:style w:type="character" w:styleId="SubtleReference">
    <w:name w:val="Subtle Reference"/>
    <w:uiPriority w:val="31"/>
    <w:qFormat/>
    <w:rsid w:val="00E13D3B"/>
    <w:rPr>
      <w:b/>
      <w:bCs/>
      <w:color w:val="5B9BD5" w:themeColor="accent1"/>
    </w:rPr>
  </w:style>
  <w:style w:type="character" w:styleId="IntenseReference">
    <w:name w:val="Intense Reference"/>
    <w:uiPriority w:val="32"/>
    <w:qFormat/>
    <w:rsid w:val="00E13D3B"/>
    <w:rPr>
      <w:b/>
      <w:bCs/>
      <w:i/>
      <w:iCs/>
      <w:caps/>
      <w:color w:val="5B9BD5" w:themeColor="accent1"/>
    </w:rPr>
  </w:style>
  <w:style w:type="character" w:styleId="BookTitle">
    <w:name w:val="Book Title"/>
    <w:uiPriority w:val="33"/>
    <w:qFormat/>
    <w:rsid w:val="00E13D3B"/>
    <w:rPr>
      <w:b/>
      <w:bCs/>
      <w:i/>
      <w:iCs/>
      <w:spacing w:val="0"/>
    </w:rPr>
  </w:style>
  <w:style w:type="paragraph" w:customStyle="1" w:styleId="Pa22">
    <w:name w:val="Pa22"/>
    <w:basedOn w:val="Default"/>
    <w:next w:val="Default"/>
    <w:uiPriority w:val="99"/>
    <w:rsid w:val="00E13D3B"/>
    <w:pPr>
      <w:spacing w:before="0" w:line="201" w:lineRule="atLeast"/>
    </w:pPr>
    <w:rPr>
      <w:rFonts w:ascii="Rockwell Light" w:hAnsi="Rockwell Light" w:cstheme="minorBidi"/>
      <w:color w:val="auto"/>
    </w:rPr>
  </w:style>
  <w:style w:type="paragraph" w:customStyle="1" w:styleId="Pa12">
    <w:name w:val="Pa12"/>
    <w:basedOn w:val="Default"/>
    <w:next w:val="Default"/>
    <w:uiPriority w:val="99"/>
    <w:rsid w:val="00E13D3B"/>
    <w:pPr>
      <w:spacing w:before="0" w:line="201" w:lineRule="atLeast"/>
    </w:pPr>
    <w:rPr>
      <w:rFonts w:ascii="Rockwell Light" w:hAnsi="Rockwell Light" w:cstheme="minorBidi"/>
      <w:color w:val="auto"/>
    </w:rPr>
  </w:style>
  <w:style w:type="character" w:customStyle="1" w:styleId="BalloonTextChar">
    <w:name w:val="Balloon Text Char"/>
    <w:basedOn w:val="DefaultParagraphFont"/>
    <w:link w:val="BalloonText"/>
    <w:uiPriority w:val="99"/>
    <w:semiHidden/>
    <w:rsid w:val="00E13D3B"/>
    <w:rPr>
      <w:rFonts w:ascii="Segoe UI" w:eastAsiaTheme="minorEastAsia" w:hAnsi="Segoe UI" w:cs="Segoe UI"/>
      <w:sz w:val="18"/>
      <w:szCs w:val="18"/>
    </w:rPr>
  </w:style>
  <w:style w:type="paragraph" w:styleId="BalloonText">
    <w:name w:val="Balloon Text"/>
    <w:basedOn w:val="Normal"/>
    <w:link w:val="BalloonTextChar"/>
    <w:uiPriority w:val="99"/>
    <w:semiHidden/>
    <w:unhideWhenUsed/>
    <w:rsid w:val="00E13D3B"/>
    <w:pPr>
      <w:spacing w:after="0" w:line="240" w:lineRule="auto"/>
    </w:pPr>
    <w:rPr>
      <w:rFonts w:ascii="Segoe UI" w:eastAsiaTheme="minorEastAsia" w:hAnsi="Segoe UI" w:cs="Segoe UI"/>
      <w:sz w:val="18"/>
      <w:szCs w:val="18"/>
    </w:rPr>
  </w:style>
  <w:style w:type="character" w:customStyle="1" w:styleId="BalloonTextChar1">
    <w:name w:val="Balloon Text Char1"/>
    <w:basedOn w:val="DefaultParagraphFont"/>
    <w:uiPriority w:val="99"/>
    <w:semiHidden/>
    <w:rsid w:val="00E13D3B"/>
    <w:rPr>
      <w:rFonts w:ascii="Segoe UI" w:hAnsi="Segoe UI" w:cs="Segoe UI"/>
      <w:sz w:val="18"/>
      <w:szCs w:val="18"/>
    </w:rPr>
  </w:style>
  <w:style w:type="character" w:customStyle="1" w:styleId="A13">
    <w:name w:val="A13"/>
    <w:uiPriority w:val="99"/>
    <w:rsid w:val="00E13D3B"/>
    <w:rPr>
      <w:rFonts w:ascii="Rockwell Light" w:hAnsi="Rockwell Light" w:cs="Rockwell Light"/>
      <w:color w:val="000000"/>
      <w:sz w:val="11"/>
      <w:szCs w:val="11"/>
    </w:rPr>
  </w:style>
  <w:style w:type="paragraph" w:styleId="CommentText">
    <w:name w:val="annotation text"/>
    <w:basedOn w:val="Normal"/>
    <w:link w:val="CommentTextChar"/>
    <w:uiPriority w:val="99"/>
    <w:unhideWhenUsed/>
    <w:rsid w:val="00E13D3B"/>
    <w:pPr>
      <w:spacing w:before="100" w:after="20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E13D3B"/>
    <w:rPr>
      <w:rFonts w:eastAsiaTheme="minorEastAsia"/>
      <w:sz w:val="20"/>
      <w:szCs w:val="20"/>
    </w:rPr>
  </w:style>
  <w:style w:type="character" w:customStyle="1" w:styleId="CommentSubjectChar">
    <w:name w:val="Comment Subject Char"/>
    <w:basedOn w:val="CommentTextChar"/>
    <w:link w:val="CommentSubject"/>
    <w:uiPriority w:val="99"/>
    <w:semiHidden/>
    <w:rsid w:val="00E13D3B"/>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E13D3B"/>
    <w:rPr>
      <w:b/>
      <w:bCs/>
    </w:rPr>
  </w:style>
  <w:style w:type="character" w:customStyle="1" w:styleId="CommentSubjectChar1">
    <w:name w:val="Comment Subject Char1"/>
    <w:basedOn w:val="CommentTextChar"/>
    <w:uiPriority w:val="99"/>
    <w:semiHidden/>
    <w:rsid w:val="00E13D3B"/>
    <w:rPr>
      <w:rFonts w:eastAsiaTheme="minorEastAsia"/>
      <w:b/>
      <w:bCs/>
      <w:sz w:val="20"/>
      <w:szCs w:val="20"/>
    </w:rPr>
  </w:style>
  <w:style w:type="paragraph" w:customStyle="1" w:styleId="NoSpacing1">
    <w:name w:val="No Spacing1"/>
    <w:next w:val="NoSpacing"/>
    <w:rsid w:val="00E13D3B"/>
    <w:pPr>
      <w:autoSpaceDN w:val="0"/>
      <w:spacing w:after="0" w:line="240" w:lineRule="auto"/>
    </w:pPr>
    <w:rPr>
      <w:rFonts w:ascii="Calibri" w:eastAsia="Times New Roman" w:hAnsi="Calibri" w:cs="Times New Roman"/>
      <w:lang w:val="en-US"/>
    </w:rPr>
  </w:style>
  <w:style w:type="table" w:styleId="TableGrid">
    <w:name w:val="Table Grid"/>
    <w:basedOn w:val="TableNormal"/>
    <w:uiPriority w:val="59"/>
    <w:rsid w:val="00E13D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E13D3B"/>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ListTable21">
    <w:name w:val="List Table 21"/>
    <w:basedOn w:val="TableNormal"/>
    <w:uiPriority w:val="47"/>
    <w:rsid w:val="005C340E"/>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C915A7"/>
    <w:rPr>
      <w:sz w:val="16"/>
      <w:szCs w:val="16"/>
    </w:rPr>
  </w:style>
  <w:style w:type="table" w:customStyle="1" w:styleId="PlainTable2">
    <w:name w:val="Plain Table 2"/>
    <w:basedOn w:val="TableNormal"/>
    <w:uiPriority w:val="42"/>
    <w:rsid w:val="00B178A7"/>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ibliography">
    <w:name w:val="Bibliography"/>
    <w:basedOn w:val="Normal"/>
    <w:next w:val="Normal"/>
    <w:uiPriority w:val="37"/>
    <w:semiHidden/>
    <w:unhideWhenUsed/>
    <w:rsid w:val="008F611D"/>
  </w:style>
  <w:style w:type="character" w:customStyle="1" w:styleId="st">
    <w:name w:val="st"/>
    <w:basedOn w:val="DefaultParagraphFont"/>
    <w:rsid w:val="008F611D"/>
  </w:style>
  <w:style w:type="paragraph" w:styleId="BodyText">
    <w:name w:val="Body Text"/>
    <w:basedOn w:val="Normal"/>
    <w:link w:val="BodyTextChar"/>
    <w:uiPriority w:val="99"/>
    <w:semiHidden/>
    <w:unhideWhenUsed/>
    <w:rsid w:val="007147B8"/>
    <w:pPr>
      <w:spacing w:after="120"/>
    </w:pPr>
  </w:style>
  <w:style w:type="character" w:customStyle="1" w:styleId="BodyTextChar">
    <w:name w:val="Body Text Char"/>
    <w:basedOn w:val="DefaultParagraphFont"/>
    <w:link w:val="BodyText"/>
    <w:uiPriority w:val="99"/>
    <w:semiHidden/>
    <w:rsid w:val="007147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120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D3DE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D3D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3D3DE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13D3B"/>
    <w:pPr>
      <w:pBdr>
        <w:bottom w:val="single" w:sz="6" w:space="1" w:color="5B9BD5" w:themeColor="accent1"/>
      </w:pBdr>
      <w:spacing w:before="200" w:after="0" w:line="276" w:lineRule="auto"/>
      <w:outlineLvl w:val="4"/>
    </w:pPr>
    <w:rPr>
      <w:rFonts w:eastAsiaTheme="minorEastAsia"/>
      <w:caps/>
      <w:color w:val="2E74B5" w:themeColor="accent1" w:themeShade="BF"/>
      <w:spacing w:val="10"/>
      <w:sz w:val="20"/>
      <w:szCs w:val="20"/>
    </w:rPr>
  </w:style>
  <w:style w:type="paragraph" w:styleId="Heading6">
    <w:name w:val="heading 6"/>
    <w:basedOn w:val="Normal"/>
    <w:next w:val="Normal"/>
    <w:link w:val="Heading6Char"/>
    <w:uiPriority w:val="9"/>
    <w:unhideWhenUsed/>
    <w:qFormat/>
    <w:rsid w:val="00E13D3B"/>
    <w:pPr>
      <w:pBdr>
        <w:bottom w:val="dotted" w:sz="6" w:space="1" w:color="5B9BD5" w:themeColor="accent1"/>
      </w:pBdr>
      <w:spacing w:before="200" w:after="0" w:line="276" w:lineRule="auto"/>
      <w:outlineLvl w:val="5"/>
    </w:pPr>
    <w:rPr>
      <w:rFonts w:eastAsiaTheme="minorEastAsia"/>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E13D3B"/>
    <w:pPr>
      <w:spacing w:before="200" w:after="0" w:line="276" w:lineRule="auto"/>
      <w:outlineLvl w:val="6"/>
    </w:pPr>
    <w:rPr>
      <w:rFonts w:eastAsiaTheme="minorEastAsia"/>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E13D3B"/>
    <w:pPr>
      <w:spacing w:before="200" w:after="0" w:line="276" w:lineRule="auto"/>
      <w:outlineLvl w:val="7"/>
    </w:pPr>
    <w:rPr>
      <w:rFonts w:eastAsiaTheme="minorEastAsia"/>
      <w:caps/>
      <w:spacing w:val="10"/>
      <w:sz w:val="18"/>
      <w:szCs w:val="18"/>
    </w:rPr>
  </w:style>
  <w:style w:type="paragraph" w:styleId="Heading9">
    <w:name w:val="heading 9"/>
    <w:basedOn w:val="Normal"/>
    <w:next w:val="Normal"/>
    <w:link w:val="Heading9Char"/>
    <w:uiPriority w:val="9"/>
    <w:semiHidden/>
    <w:unhideWhenUsed/>
    <w:qFormat/>
    <w:rsid w:val="00E13D3B"/>
    <w:pPr>
      <w:spacing w:before="200" w:after="0" w:line="276" w:lineRule="auto"/>
      <w:outlineLvl w:val="8"/>
    </w:pPr>
    <w:rPr>
      <w:rFonts w:eastAsiaTheme="minorEastAsia"/>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0A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D3DE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D3DE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3D3DE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E13D3B"/>
    <w:rPr>
      <w:rFonts w:eastAsiaTheme="minorEastAsia"/>
      <w:caps/>
      <w:color w:val="2E74B5" w:themeColor="accent1" w:themeShade="BF"/>
      <w:spacing w:val="10"/>
      <w:sz w:val="20"/>
      <w:szCs w:val="20"/>
    </w:rPr>
  </w:style>
  <w:style w:type="character" w:customStyle="1" w:styleId="Heading6Char">
    <w:name w:val="Heading 6 Char"/>
    <w:basedOn w:val="DefaultParagraphFont"/>
    <w:link w:val="Heading6"/>
    <w:uiPriority w:val="9"/>
    <w:rsid w:val="00E13D3B"/>
    <w:rPr>
      <w:rFonts w:eastAsiaTheme="minorEastAsia"/>
      <w:caps/>
      <w:color w:val="2E74B5" w:themeColor="accent1" w:themeShade="BF"/>
      <w:spacing w:val="10"/>
      <w:sz w:val="20"/>
      <w:szCs w:val="20"/>
    </w:rPr>
  </w:style>
  <w:style w:type="character" w:customStyle="1" w:styleId="Heading7Char">
    <w:name w:val="Heading 7 Char"/>
    <w:basedOn w:val="DefaultParagraphFont"/>
    <w:link w:val="Heading7"/>
    <w:uiPriority w:val="9"/>
    <w:semiHidden/>
    <w:rsid w:val="00E13D3B"/>
    <w:rPr>
      <w:rFonts w:eastAsiaTheme="minorEastAsia"/>
      <w:caps/>
      <w:color w:val="2E74B5" w:themeColor="accent1" w:themeShade="BF"/>
      <w:spacing w:val="10"/>
      <w:sz w:val="20"/>
      <w:szCs w:val="20"/>
    </w:rPr>
  </w:style>
  <w:style w:type="character" w:customStyle="1" w:styleId="Heading8Char">
    <w:name w:val="Heading 8 Char"/>
    <w:basedOn w:val="DefaultParagraphFont"/>
    <w:link w:val="Heading8"/>
    <w:uiPriority w:val="9"/>
    <w:semiHidden/>
    <w:rsid w:val="00E13D3B"/>
    <w:rPr>
      <w:rFonts w:eastAsiaTheme="minorEastAsia"/>
      <w:caps/>
      <w:spacing w:val="10"/>
      <w:sz w:val="18"/>
      <w:szCs w:val="18"/>
    </w:rPr>
  </w:style>
  <w:style w:type="character" w:customStyle="1" w:styleId="Heading9Char">
    <w:name w:val="Heading 9 Char"/>
    <w:basedOn w:val="DefaultParagraphFont"/>
    <w:link w:val="Heading9"/>
    <w:uiPriority w:val="9"/>
    <w:semiHidden/>
    <w:rsid w:val="00E13D3B"/>
    <w:rPr>
      <w:rFonts w:eastAsiaTheme="minorEastAsia"/>
      <w:i/>
      <w:iCs/>
      <w:caps/>
      <w:spacing w:val="10"/>
      <w:sz w:val="18"/>
      <w:szCs w:val="18"/>
    </w:rPr>
  </w:style>
  <w:style w:type="paragraph" w:styleId="Footer">
    <w:name w:val="footer"/>
    <w:basedOn w:val="Normal"/>
    <w:link w:val="FooterChar"/>
    <w:uiPriority w:val="99"/>
    <w:unhideWhenUsed/>
    <w:rsid w:val="001A40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40D8"/>
  </w:style>
  <w:style w:type="paragraph" w:styleId="ListParagraph">
    <w:name w:val="List Paragraph"/>
    <w:basedOn w:val="Normal"/>
    <w:link w:val="ListParagraphChar"/>
    <w:uiPriority w:val="34"/>
    <w:qFormat/>
    <w:rsid w:val="001120A5"/>
    <w:pPr>
      <w:ind w:left="720"/>
      <w:contextualSpacing/>
    </w:pPr>
  </w:style>
  <w:style w:type="character" w:customStyle="1" w:styleId="ListParagraphChar">
    <w:name w:val="List Paragraph Char"/>
    <w:link w:val="ListParagraph"/>
    <w:uiPriority w:val="34"/>
    <w:locked/>
    <w:rsid w:val="00E13D3B"/>
  </w:style>
  <w:style w:type="paragraph" w:styleId="FootnoteText">
    <w:name w:val="footnote text"/>
    <w:aliases w:val="Texto nota pie Car Car Car,FOOTNOTES,fn,single space,Footnote Text Char Char Char,Footnote Text1 Char,Footnote Text2,Footnote Text Char Char Char1 Char,Footnote Text Char Char Char1,ft,ADB,ALTS FOOTNOTE,footnote text,Footnote ak,Footnotes"/>
    <w:basedOn w:val="Normal"/>
    <w:link w:val="FootnoteTextChar"/>
    <w:uiPriority w:val="99"/>
    <w:unhideWhenUsed/>
    <w:qFormat/>
    <w:rsid w:val="001120A5"/>
    <w:pPr>
      <w:spacing w:after="0" w:line="240" w:lineRule="auto"/>
    </w:pPr>
    <w:rPr>
      <w:sz w:val="20"/>
      <w:szCs w:val="20"/>
    </w:rPr>
  </w:style>
  <w:style w:type="character" w:customStyle="1" w:styleId="FootnoteTextChar">
    <w:name w:val="Footnote Text Char"/>
    <w:aliases w:val="Texto nota pie Car Car Car Char,FOOTNOTES Char,fn Char,single space Char,Footnote Text Char Char Char Char,Footnote Text1 Char Char,Footnote Text2 Char,Footnote Text Char Char Char1 Char Char,Footnote Text Char Char Char1 Char1"/>
    <w:basedOn w:val="DefaultParagraphFont"/>
    <w:link w:val="FootnoteText"/>
    <w:uiPriority w:val="99"/>
    <w:rsid w:val="001120A5"/>
    <w:rPr>
      <w:sz w:val="20"/>
      <w:szCs w:val="20"/>
    </w:rPr>
  </w:style>
  <w:style w:type="character" w:styleId="FootnoteReference">
    <w:name w:val="footnote reference"/>
    <w:aliases w:val="16 Point,Superscript 6 Point,Superscript 6 Point + 11 pt,ftref,BVI fnr,BVI fnr Car Car,BVI fnr Car,BVI fnr Car Car Car Car,Footnote text,Footnote,Footnote symbol,Знак сноски 1,Ciae niinee 1"/>
    <w:basedOn w:val="DefaultParagraphFont"/>
    <w:uiPriority w:val="99"/>
    <w:unhideWhenUsed/>
    <w:qFormat/>
    <w:rsid w:val="001120A5"/>
    <w:rPr>
      <w:vertAlign w:val="superscript"/>
    </w:rPr>
  </w:style>
  <w:style w:type="table" w:customStyle="1" w:styleId="PlainTable21">
    <w:name w:val="Plain Table 21"/>
    <w:basedOn w:val="TableNormal"/>
    <w:uiPriority w:val="42"/>
    <w:rsid w:val="00605B67"/>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OCHeading">
    <w:name w:val="TOC Heading"/>
    <w:basedOn w:val="Heading1"/>
    <w:next w:val="Normal"/>
    <w:uiPriority w:val="39"/>
    <w:unhideWhenUsed/>
    <w:qFormat/>
    <w:rsid w:val="003D3DE2"/>
    <w:pPr>
      <w:outlineLvl w:val="9"/>
    </w:pPr>
    <w:rPr>
      <w:lang w:val="en-US"/>
    </w:rPr>
  </w:style>
  <w:style w:type="paragraph" w:styleId="TOC1">
    <w:name w:val="toc 1"/>
    <w:basedOn w:val="Normal"/>
    <w:next w:val="Normal"/>
    <w:autoRedefine/>
    <w:uiPriority w:val="39"/>
    <w:unhideWhenUsed/>
    <w:rsid w:val="00291B12"/>
    <w:pPr>
      <w:tabs>
        <w:tab w:val="right" w:leader="dot" w:pos="9016"/>
      </w:tabs>
      <w:spacing w:after="100"/>
    </w:pPr>
    <w:rPr>
      <w:rFonts w:ascii="Times New Roman" w:hAnsi="Times New Roman" w:cs="Times New Roman"/>
      <w:b/>
      <w:noProof/>
    </w:rPr>
  </w:style>
  <w:style w:type="paragraph" w:styleId="TOC2">
    <w:name w:val="toc 2"/>
    <w:basedOn w:val="Normal"/>
    <w:next w:val="Normal"/>
    <w:autoRedefine/>
    <w:uiPriority w:val="39"/>
    <w:unhideWhenUsed/>
    <w:rsid w:val="003D3DE2"/>
    <w:pPr>
      <w:spacing w:after="100"/>
      <w:ind w:left="220"/>
    </w:pPr>
  </w:style>
  <w:style w:type="paragraph" w:styleId="TOC3">
    <w:name w:val="toc 3"/>
    <w:basedOn w:val="Normal"/>
    <w:next w:val="Normal"/>
    <w:autoRedefine/>
    <w:uiPriority w:val="39"/>
    <w:unhideWhenUsed/>
    <w:rsid w:val="003D3DE2"/>
    <w:pPr>
      <w:spacing w:after="100"/>
      <w:ind w:left="440"/>
    </w:pPr>
  </w:style>
  <w:style w:type="character" w:styleId="Hyperlink">
    <w:name w:val="Hyperlink"/>
    <w:basedOn w:val="DefaultParagraphFont"/>
    <w:uiPriority w:val="99"/>
    <w:unhideWhenUsed/>
    <w:rsid w:val="003D3DE2"/>
    <w:rPr>
      <w:color w:val="0563C1" w:themeColor="hyperlink"/>
      <w:u w:val="single"/>
    </w:rPr>
  </w:style>
  <w:style w:type="table" w:customStyle="1" w:styleId="PlainTable210">
    <w:name w:val="Plain Table 21"/>
    <w:basedOn w:val="TableNormal"/>
    <w:uiPriority w:val="42"/>
    <w:rsid w:val="00E13D3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link w:val="NoSpacingChar"/>
    <w:uiPriority w:val="1"/>
    <w:qFormat/>
    <w:rsid w:val="00E13D3B"/>
    <w:pPr>
      <w:spacing w:after="0" w:line="240" w:lineRule="auto"/>
    </w:pPr>
    <w:rPr>
      <w:lang w:val="en-US"/>
    </w:rPr>
  </w:style>
  <w:style w:type="character" w:customStyle="1" w:styleId="NoSpacingChar">
    <w:name w:val="No Spacing Char"/>
    <w:basedOn w:val="DefaultParagraphFont"/>
    <w:link w:val="NoSpacing"/>
    <w:uiPriority w:val="1"/>
    <w:rsid w:val="00E13D3B"/>
    <w:rPr>
      <w:lang w:val="en-US"/>
    </w:rPr>
  </w:style>
  <w:style w:type="paragraph" w:styleId="EndnoteText">
    <w:name w:val="endnote text"/>
    <w:basedOn w:val="Normal"/>
    <w:link w:val="EndnoteTextChar"/>
    <w:uiPriority w:val="99"/>
    <w:semiHidden/>
    <w:unhideWhenUsed/>
    <w:rsid w:val="00E13D3B"/>
    <w:pPr>
      <w:spacing w:after="0" w:line="240" w:lineRule="auto"/>
    </w:pPr>
    <w:rPr>
      <w:rFonts w:eastAsiaTheme="minorEastAsia"/>
      <w:sz w:val="20"/>
      <w:szCs w:val="20"/>
      <w:lang w:eastAsia="en-GB"/>
    </w:rPr>
  </w:style>
  <w:style w:type="character" w:customStyle="1" w:styleId="EndnoteTextChar">
    <w:name w:val="Endnote Text Char"/>
    <w:basedOn w:val="DefaultParagraphFont"/>
    <w:link w:val="EndnoteText"/>
    <w:uiPriority w:val="99"/>
    <w:semiHidden/>
    <w:rsid w:val="00E13D3B"/>
    <w:rPr>
      <w:rFonts w:eastAsiaTheme="minorEastAsia"/>
      <w:sz w:val="20"/>
      <w:szCs w:val="20"/>
      <w:lang w:eastAsia="en-GB"/>
    </w:rPr>
  </w:style>
  <w:style w:type="paragraph" w:styleId="BodyText2">
    <w:name w:val="Body Text 2"/>
    <w:aliases w:val="Body Text 2 Char1, Char Char Char Char Char Char, Char Char,Body Text 2 Char Char, Char Char Char Char1 Char, Char Char Char2 Char Char, Char Char Char2 Char Char Char Char Char Char, Char, Char Char Char Char1"/>
    <w:basedOn w:val="Normal"/>
    <w:link w:val="BodyText2Char2"/>
    <w:rsid w:val="00E13D3B"/>
    <w:pPr>
      <w:spacing w:after="0" w:line="480" w:lineRule="auto"/>
      <w:jc w:val="both"/>
    </w:pPr>
    <w:rPr>
      <w:rFonts w:ascii="Times New Roman" w:eastAsia="Times New Roman" w:hAnsi="Times New Roman" w:cs="Times New Roman"/>
      <w:sz w:val="24"/>
      <w:szCs w:val="24"/>
    </w:rPr>
  </w:style>
  <w:style w:type="character" w:customStyle="1" w:styleId="BodyText2Char2">
    <w:name w:val="Body Text 2 Char2"/>
    <w:aliases w:val="Body Text 2 Char1 Char, Char Char Char Char Char Char Char, Char Char Char,Body Text 2 Char Char Char, Char Char Char Char1 Char Char, Char Char Char2 Char Char Char, Char Char Char2 Char Char Char Char Char Char Char, Char Char1"/>
    <w:basedOn w:val="DefaultParagraphFont"/>
    <w:link w:val="BodyText2"/>
    <w:rsid w:val="00E13D3B"/>
    <w:rPr>
      <w:rFonts w:ascii="Times New Roman" w:eastAsia="Times New Roman" w:hAnsi="Times New Roman" w:cs="Times New Roman"/>
      <w:sz w:val="24"/>
      <w:szCs w:val="24"/>
    </w:rPr>
  </w:style>
  <w:style w:type="character" w:customStyle="1" w:styleId="BodyText2Char">
    <w:name w:val="Body Text 2 Char"/>
    <w:basedOn w:val="DefaultParagraphFont"/>
    <w:uiPriority w:val="99"/>
    <w:semiHidden/>
    <w:rsid w:val="00E13D3B"/>
  </w:style>
  <w:style w:type="paragraph" w:styleId="Header">
    <w:name w:val="header"/>
    <w:basedOn w:val="Normal"/>
    <w:link w:val="HeaderChar"/>
    <w:uiPriority w:val="99"/>
    <w:unhideWhenUsed/>
    <w:rsid w:val="00E13D3B"/>
    <w:pPr>
      <w:tabs>
        <w:tab w:val="center" w:pos="4513"/>
        <w:tab w:val="right" w:pos="9026"/>
      </w:tabs>
      <w:spacing w:before="100" w:after="0" w:line="240" w:lineRule="auto"/>
    </w:pPr>
    <w:rPr>
      <w:rFonts w:eastAsiaTheme="minorEastAsia"/>
      <w:sz w:val="20"/>
      <w:szCs w:val="20"/>
    </w:rPr>
  </w:style>
  <w:style w:type="character" w:customStyle="1" w:styleId="HeaderChar">
    <w:name w:val="Header Char"/>
    <w:basedOn w:val="DefaultParagraphFont"/>
    <w:link w:val="Header"/>
    <w:uiPriority w:val="99"/>
    <w:rsid w:val="00E13D3B"/>
    <w:rPr>
      <w:rFonts w:eastAsiaTheme="minorEastAsia"/>
      <w:sz w:val="20"/>
      <w:szCs w:val="20"/>
    </w:rPr>
  </w:style>
  <w:style w:type="paragraph" w:customStyle="1" w:styleId="Default">
    <w:name w:val="Default"/>
    <w:rsid w:val="00E13D3B"/>
    <w:pPr>
      <w:autoSpaceDE w:val="0"/>
      <w:autoSpaceDN w:val="0"/>
      <w:adjustRightInd w:val="0"/>
      <w:spacing w:before="100" w:after="0" w:line="240" w:lineRule="auto"/>
    </w:pPr>
    <w:rPr>
      <w:rFonts w:ascii="Times New Roman" w:eastAsiaTheme="minorEastAsia" w:hAnsi="Times New Roman" w:cs="Times New Roman"/>
      <w:color w:val="000000"/>
      <w:sz w:val="24"/>
      <w:szCs w:val="24"/>
    </w:rPr>
  </w:style>
  <w:style w:type="paragraph" w:styleId="Title">
    <w:name w:val="Title"/>
    <w:basedOn w:val="Normal"/>
    <w:next w:val="Normal"/>
    <w:link w:val="TitleChar"/>
    <w:uiPriority w:val="10"/>
    <w:qFormat/>
    <w:rsid w:val="00E13D3B"/>
    <w:pPr>
      <w:spacing w:after="0" w:line="276" w:lineRule="auto"/>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E13D3B"/>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E13D3B"/>
    <w:pPr>
      <w:spacing w:after="500" w:line="240" w:lineRule="auto"/>
    </w:pPr>
    <w:rPr>
      <w:rFonts w:eastAsiaTheme="minorEastAsia"/>
      <w:caps/>
      <w:color w:val="595959" w:themeColor="text1" w:themeTint="A6"/>
      <w:spacing w:val="10"/>
      <w:sz w:val="21"/>
      <w:szCs w:val="21"/>
    </w:rPr>
  </w:style>
  <w:style w:type="character" w:customStyle="1" w:styleId="SubtitleChar">
    <w:name w:val="Subtitle Char"/>
    <w:basedOn w:val="DefaultParagraphFont"/>
    <w:link w:val="Subtitle"/>
    <w:uiPriority w:val="11"/>
    <w:rsid w:val="00E13D3B"/>
    <w:rPr>
      <w:rFonts w:eastAsiaTheme="minorEastAsia"/>
      <w:caps/>
      <w:color w:val="595959" w:themeColor="text1" w:themeTint="A6"/>
      <w:spacing w:val="10"/>
      <w:sz w:val="21"/>
      <w:szCs w:val="21"/>
    </w:rPr>
  </w:style>
  <w:style w:type="character" w:styleId="Strong">
    <w:name w:val="Strong"/>
    <w:uiPriority w:val="22"/>
    <w:qFormat/>
    <w:rsid w:val="00E13D3B"/>
    <w:rPr>
      <w:b/>
      <w:bCs/>
    </w:rPr>
  </w:style>
  <w:style w:type="character" w:styleId="Emphasis">
    <w:name w:val="Emphasis"/>
    <w:uiPriority w:val="20"/>
    <w:qFormat/>
    <w:rsid w:val="00E13D3B"/>
    <w:rPr>
      <w:caps/>
      <w:color w:val="1F4D78" w:themeColor="accent1" w:themeShade="7F"/>
      <w:spacing w:val="5"/>
    </w:rPr>
  </w:style>
  <w:style w:type="paragraph" w:styleId="Quote">
    <w:name w:val="Quote"/>
    <w:basedOn w:val="Normal"/>
    <w:next w:val="Normal"/>
    <w:link w:val="QuoteChar"/>
    <w:uiPriority w:val="29"/>
    <w:qFormat/>
    <w:rsid w:val="00E13D3B"/>
    <w:pPr>
      <w:spacing w:before="100" w:after="200" w:line="276" w:lineRule="auto"/>
    </w:pPr>
    <w:rPr>
      <w:rFonts w:eastAsiaTheme="minorEastAsia"/>
      <w:i/>
      <w:iCs/>
      <w:sz w:val="24"/>
      <w:szCs w:val="24"/>
    </w:rPr>
  </w:style>
  <w:style w:type="character" w:customStyle="1" w:styleId="QuoteChar">
    <w:name w:val="Quote Char"/>
    <w:basedOn w:val="DefaultParagraphFont"/>
    <w:link w:val="Quote"/>
    <w:uiPriority w:val="29"/>
    <w:rsid w:val="00E13D3B"/>
    <w:rPr>
      <w:rFonts w:eastAsiaTheme="minorEastAsia"/>
      <w:i/>
      <w:iCs/>
      <w:sz w:val="24"/>
      <w:szCs w:val="24"/>
    </w:rPr>
  </w:style>
  <w:style w:type="paragraph" w:styleId="IntenseQuote">
    <w:name w:val="Intense Quote"/>
    <w:basedOn w:val="Normal"/>
    <w:next w:val="Normal"/>
    <w:link w:val="IntenseQuoteChar"/>
    <w:uiPriority w:val="30"/>
    <w:qFormat/>
    <w:rsid w:val="00E13D3B"/>
    <w:pPr>
      <w:spacing w:before="240" w:after="240" w:line="240" w:lineRule="auto"/>
      <w:ind w:left="1080" w:right="1080"/>
      <w:jc w:val="center"/>
    </w:pPr>
    <w:rPr>
      <w:rFonts w:eastAsiaTheme="minorEastAsia"/>
      <w:color w:val="5B9BD5" w:themeColor="accent1"/>
      <w:sz w:val="24"/>
      <w:szCs w:val="24"/>
    </w:rPr>
  </w:style>
  <w:style w:type="character" w:customStyle="1" w:styleId="IntenseQuoteChar">
    <w:name w:val="Intense Quote Char"/>
    <w:basedOn w:val="DefaultParagraphFont"/>
    <w:link w:val="IntenseQuote"/>
    <w:uiPriority w:val="30"/>
    <w:rsid w:val="00E13D3B"/>
    <w:rPr>
      <w:rFonts w:eastAsiaTheme="minorEastAsia"/>
      <w:color w:val="5B9BD5" w:themeColor="accent1"/>
      <w:sz w:val="24"/>
      <w:szCs w:val="24"/>
    </w:rPr>
  </w:style>
  <w:style w:type="character" w:styleId="SubtleEmphasis">
    <w:name w:val="Subtle Emphasis"/>
    <w:uiPriority w:val="19"/>
    <w:qFormat/>
    <w:rsid w:val="00E13D3B"/>
    <w:rPr>
      <w:i/>
      <w:iCs/>
      <w:color w:val="1F4D78" w:themeColor="accent1" w:themeShade="7F"/>
    </w:rPr>
  </w:style>
  <w:style w:type="character" w:styleId="IntenseEmphasis">
    <w:name w:val="Intense Emphasis"/>
    <w:uiPriority w:val="21"/>
    <w:qFormat/>
    <w:rsid w:val="00E13D3B"/>
    <w:rPr>
      <w:b/>
      <w:bCs/>
      <w:caps/>
      <w:color w:val="1F4D78" w:themeColor="accent1" w:themeShade="7F"/>
      <w:spacing w:val="10"/>
    </w:rPr>
  </w:style>
  <w:style w:type="character" w:styleId="SubtleReference">
    <w:name w:val="Subtle Reference"/>
    <w:uiPriority w:val="31"/>
    <w:qFormat/>
    <w:rsid w:val="00E13D3B"/>
    <w:rPr>
      <w:b/>
      <w:bCs/>
      <w:color w:val="5B9BD5" w:themeColor="accent1"/>
    </w:rPr>
  </w:style>
  <w:style w:type="character" w:styleId="IntenseReference">
    <w:name w:val="Intense Reference"/>
    <w:uiPriority w:val="32"/>
    <w:qFormat/>
    <w:rsid w:val="00E13D3B"/>
    <w:rPr>
      <w:b/>
      <w:bCs/>
      <w:i/>
      <w:iCs/>
      <w:caps/>
      <w:color w:val="5B9BD5" w:themeColor="accent1"/>
    </w:rPr>
  </w:style>
  <w:style w:type="character" w:styleId="BookTitle">
    <w:name w:val="Book Title"/>
    <w:uiPriority w:val="33"/>
    <w:qFormat/>
    <w:rsid w:val="00E13D3B"/>
    <w:rPr>
      <w:b/>
      <w:bCs/>
      <w:i/>
      <w:iCs/>
      <w:spacing w:val="0"/>
    </w:rPr>
  </w:style>
  <w:style w:type="paragraph" w:customStyle="1" w:styleId="Pa22">
    <w:name w:val="Pa22"/>
    <w:basedOn w:val="Default"/>
    <w:next w:val="Default"/>
    <w:uiPriority w:val="99"/>
    <w:rsid w:val="00E13D3B"/>
    <w:pPr>
      <w:spacing w:before="0" w:line="201" w:lineRule="atLeast"/>
    </w:pPr>
    <w:rPr>
      <w:rFonts w:ascii="Rockwell Light" w:hAnsi="Rockwell Light" w:cstheme="minorBidi"/>
      <w:color w:val="auto"/>
    </w:rPr>
  </w:style>
  <w:style w:type="paragraph" w:customStyle="1" w:styleId="Pa12">
    <w:name w:val="Pa12"/>
    <w:basedOn w:val="Default"/>
    <w:next w:val="Default"/>
    <w:uiPriority w:val="99"/>
    <w:rsid w:val="00E13D3B"/>
    <w:pPr>
      <w:spacing w:before="0" w:line="201" w:lineRule="atLeast"/>
    </w:pPr>
    <w:rPr>
      <w:rFonts w:ascii="Rockwell Light" w:hAnsi="Rockwell Light" w:cstheme="minorBidi"/>
      <w:color w:val="auto"/>
    </w:rPr>
  </w:style>
  <w:style w:type="character" w:customStyle="1" w:styleId="BalloonTextChar">
    <w:name w:val="Balloon Text Char"/>
    <w:basedOn w:val="DefaultParagraphFont"/>
    <w:link w:val="BalloonText"/>
    <w:uiPriority w:val="99"/>
    <w:semiHidden/>
    <w:rsid w:val="00E13D3B"/>
    <w:rPr>
      <w:rFonts w:ascii="Segoe UI" w:eastAsiaTheme="minorEastAsia" w:hAnsi="Segoe UI" w:cs="Segoe UI"/>
      <w:sz w:val="18"/>
      <w:szCs w:val="18"/>
    </w:rPr>
  </w:style>
  <w:style w:type="paragraph" w:styleId="BalloonText">
    <w:name w:val="Balloon Text"/>
    <w:basedOn w:val="Normal"/>
    <w:link w:val="BalloonTextChar"/>
    <w:uiPriority w:val="99"/>
    <w:semiHidden/>
    <w:unhideWhenUsed/>
    <w:rsid w:val="00E13D3B"/>
    <w:pPr>
      <w:spacing w:after="0" w:line="240" w:lineRule="auto"/>
    </w:pPr>
    <w:rPr>
      <w:rFonts w:ascii="Segoe UI" w:eastAsiaTheme="minorEastAsia" w:hAnsi="Segoe UI" w:cs="Segoe UI"/>
      <w:sz w:val="18"/>
      <w:szCs w:val="18"/>
    </w:rPr>
  </w:style>
  <w:style w:type="character" w:customStyle="1" w:styleId="BalloonTextChar1">
    <w:name w:val="Balloon Text Char1"/>
    <w:basedOn w:val="DefaultParagraphFont"/>
    <w:uiPriority w:val="99"/>
    <w:semiHidden/>
    <w:rsid w:val="00E13D3B"/>
    <w:rPr>
      <w:rFonts w:ascii="Segoe UI" w:hAnsi="Segoe UI" w:cs="Segoe UI"/>
      <w:sz w:val="18"/>
      <w:szCs w:val="18"/>
    </w:rPr>
  </w:style>
  <w:style w:type="character" w:customStyle="1" w:styleId="A13">
    <w:name w:val="A13"/>
    <w:uiPriority w:val="99"/>
    <w:rsid w:val="00E13D3B"/>
    <w:rPr>
      <w:rFonts w:ascii="Rockwell Light" w:hAnsi="Rockwell Light" w:cs="Rockwell Light"/>
      <w:color w:val="000000"/>
      <w:sz w:val="11"/>
      <w:szCs w:val="11"/>
    </w:rPr>
  </w:style>
  <w:style w:type="paragraph" w:styleId="CommentText">
    <w:name w:val="annotation text"/>
    <w:basedOn w:val="Normal"/>
    <w:link w:val="CommentTextChar"/>
    <w:uiPriority w:val="99"/>
    <w:unhideWhenUsed/>
    <w:rsid w:val="00E13D3B"/>
    <w:pPr>
      <w:spacing w:before="100" w:after="20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E13D3B"/>
    <w:rPr>
      <w:rFonts w:eastAsiaTheme="minorEastAsia"/>
      <w:sz w:val="20"/>
      <w:szCs w:val="20"/>
    </w:rPr>
  </w:style>
  <w:style w:type="character" w:customStyle="1" w:styleId="CommentSubjectChar">
    <w:name w:val="Comment Subject Char"/>
    <w:basedOn w:val="CommentTextChar"/>
    <w:link w:val="CommentSubject"/>
    <w:uiPriority w:val="99"/>
    <w:semiHidden/>
    <w:rsid w:val="00E13D3B"/>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E13D3B"/>
    <w:rPr>
      <w:b/>
      <w:bCs/>
    </w:rPr>
  </w:style>
  <w:style w:type="character" w:customStyle="1" w:styleId="CommentSubjectChar1">
    <w:name w:val="Comment Subject Char1"/>
    <w:basedOn w:val="CommentTextChar"/>
    <w:uiPriority w:val="99"/>
    <w:semiHidden/>
    <w:rsid w:val="00E13D3B"/>
    <w:rPr>
      <w:rFonts w:eastAsiaTheme="minorEastAsia"/>
      <w:b/>
      <w:bCs/>
      <w:sz w:val="20"/>
      <w:szCs w:val="20"/>
    </w:rPr>
  </w:style>
  <w:style w:type="paragraph" w:customStyle="1" w:styleId="NoSpacing1">
    <w:name w:val="No Spacing1"/>
    <w:next w:val="NoSpacing"/>
    <w:rsid w:val="00E13D3B"/>
    <w:pPr>
      <w:autoSpaceDN w:val="0"/>
      <w:spacing w:after="0" w:line="240" w:lineRule="auto"/>
    </w:pPr>
    <w:rPr>
      <w:rFonts w:ascii="Calibri" w:eastAsia="Times New Roman" w:hAnsi="Calibri" w:cs="Times New Roman"/>
      <w:lang w:val="en-US"/>
    </w:rPr>
  </w:style>
  <w:style w:type="table" w:styleId="TableGrid">
    <w:name w:val="Table Grid"/>
    <w:basedOn w:val="TableNormal"/>
    <w:uiPriority w:val="59"/>
    <w:rsid w:val="00E13D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E13D3B"/>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ListTable21">
    <w:name w:val="List Table 21"/>
    <w:basedOn w:val="TableNormal"/>
    <w:uiPriority w:val="47"/>
    <w:rsid w:val="005C340E"/>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C915A7"/>
    <w:rPr>
      <w:sz w:val="16"/>
      <w:szCs w:val="16"/>
    </w:rPr>
  </w:style>
  <w:style w:type="table" w:customStyle="1" w:styleId="PlainTable2">
    <w:name w:val="Plain Table 2"/>
    <w:basedOn w:val="TableNormal"/>
    <w:uiPriority w:val="42"/>
    <w:rsid w:val="00B178A7"/>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ibliography">
    <w:name w:val="Bibliography"/>
    <w:basedOn w:val="Normal"/>
    <w:next w:val="Normal"/>
    <w:uiPriority w:val="37"/>
    <w:semiHidden/>
    <w:unhideWhenUsed/>
    <w:rsid w:val="008F611D"/>
  </w:style>
  <w:style w:type="character" w:customStyle="1" w:styleId="st">
    <w:name w:val="st"/>
    <w:basedOn w:val="DefaultParagraphFont"/>
    <w:rsid w:val="008F611D"/>
  </w:style>
  <w:style w:type="paragraph" w:styleId="BodyText">
    <w:name w:val="Body Text"/>
    <w:basedOn w:val="Normal"/>
    <w:link w:val="BodyTextChar"/>
    <w:uiPriority w:val="99"/>
    <w:semiHidden/>
    <w:unhideWhenUsed/>
    <w:rsid w:val="007147B8"/>
    <w:pPr>
      <w:spacing w:after="120"/>
    </w:pPr>
  </w:style>
  <w:style w:type="character" w:customStyle="1" w:styleId="BodyTextChar">
    <w:name w:val="Body Text Char"/>
    <w:basedOn w:val="DefaultParagraphFont"/>
    <w:link w:val="BodyText"/>
    <w:uiPriority w:val="99"/>
    <w:semiHidden/>
    <w:rsid w:val="00714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6.xml"/><Relationship Id="rId3" Type="http://schemas.openxmlformats.org/officeDocument/2006/relationships/numbering" Target="numbering.xml"/><Relationship Id="rId21" Type="http://schemas.openxmlformats.org/officeDocument/2006/relationships/chart" Target="charts/chart11.xml"/><Relationship Id="rId7" Type="http://schemas.openxmlformats.org/officeDocument/2006/relationships/webSettings" Target="webSetting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5.xml"/><Relationship Id="rId2" Type="http://schemas.openxmlformats.org/officeDocument/2006/relationships/customXml" Target="../customXml/item2.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1.xml"/><Relationship Id="rId24" Type="http://schemas.openxmlformats.org/officeDocument/2006/relationships/chart" Target="charts/chart14.xml"/><Relationship Id="rId5" Type="http://schemas.microsoft.com/office/2007/relationships/stylesWithEffects" Target="stylesWithEffect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chart" Target="charts/chart9.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gkoyi\Documents\MDG%20NER%20%20trends%20provinces.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oleObject" Target="file:///C:\Users\gkoyi\Documents\Mean%20Progress%20Rate%20Computation%20(2015).xlsx" TargetMode="External"/><Relationship Id="rId1" Type="http://schemas.openxmlformats.org/officeDocument/2006/relationships/themeOverride" Target="../theme/themeOverride10.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11.xml"/></Relationships>
</file>

<file path=word/charts/_rels/chart13.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12.xml"/></Relationships>
</file>

<file path=word/charts/_rels/chart14.xml.rels><?xml version="1.0" encoding="UTF-8" standalone="yes"?>
<Relationships xmlns="http://schemas.openxmlformats.org/package/2006/relationships"><Relationship Id="rId1" Type="http://schemas.openxmlformats.org/officeDocument/2006/relationships/oleObject" Target="file:///C:\Users\gkoyi\Documents\ZMB%20%20main%20economic%20outlook%20statitics.xlsx" TargetMode="External"/></Relationships>
</file>

<file path=word/charts/_rels/chart15.xml.rels><?xml version="1.0" encoding="UTF-8" standalone="yes"?>
<Relationships xmlns="http://schemas.openxmlformats.org/package/2006/relationships"><Relationship Id="rId2" Type="http://schemas.openxmlformats.org/officeDocument/2006/relationships/oleObject" Target="file:///C:\Users\gkoyi\Downloads\ObservationData_keycwee.xlsx" TargetMode="External"/><Relationship Id="rId1" Type="http://schemas.openxmlformats.org/officeDocument/2006/relationships/themeOverride" Target="../theme/themeOverride13.xml"/></Relationships>
</file>

<file path=word/charts/_rels/chart16.xml.rels><?xml version="1.0" encoding="UTF-8" standalone="yes"?>
<Relationships xmlns="http://schemas.openxmlformats.org/package/2006/relationships"><Relationship Id="rId1" Type="http://schemas.openxmlformats.org/officeDocument/2006/relationships/oleObject" Target="file:///C:\Users\gkoyi\Documents\AEO_TAX_Data2015_clean.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gkoyi\Documents\MDG%20NER%20%20trends%20provinces.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gkoyi\Documents\MDG%20NER%20%20trends%20provinces.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gkoyi\Documents\MDG%20NER%20%20trends%20provinces.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gkoyi\Documents\MDG%20NER%20%20trends%20provinces.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gkoyi\Documents\Mean%20Progress%20Rate%20Computation%20(2015).xlsx"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1"/>
          <c:order val="0"/>
          <c:tx>
            <c:strRef>
              <c:f>Sheet3!$A$3</c:f>
              <c:strCache>
                <c:ptCount val="1"/>
                <c:pt idx="0">
                  <c:v>Real GDP growth rate(%)</c:v>
                </c:pt>
              </c:strCache>
            </c:strRef>
          </c:tx>
          <c:spPr>
            <a:ln w="28575" cap="rnd">
              <a:solidFill>
                <a:schemeClr val="accent2"/>
              </a:solidFill>
              <a:round/>
            </a:ln>
            <a:effectLst/>
          </c:spPr>
          <c:marker>
            <c:symbol val="none"/>
          </c:marker>
          <c:cat>
            <c:numRef>
              <c:f>Sheet3!$B$1:$P$1</c:f>
              <c:numCache>
                <c:formatCode>General</c:formatCod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numCache>
            </c:numRef>
          </c:cat>
          <c:val>
            <c:numRef>
              <c:f>Sheet3!$B$3:$P$3</c:f>
              <c:numCache>
                <c:formatCode>General</c:formatCode>
                <c:ptCount val="15"/>
                <c:pt idx="0">
                  <c:v>3.6</c:v>
                </c:pt>
                <c:pt idx="1">
                  <c:v>4.9000000000000004</c:v>
                </c:pt>
                <c:pt idx="2">
                  <c:v>3.3</c:v>
                </c:pt>
                <c:pt idx="3">
                  <c:v>5.0999999999999996</c:v>
                </c:pt>
                <c:pt idx="4">
                  <c:v>5.4</c:v>
                </c:pt>
                <c:pt idx="5">
                  <c:v>5.2</c:v>
                </c:pt>
                <c:pt idx="6">
                  <c:v>5.8</c:v>
                </c:pt>
                <c:pt idx="7">
                  <c:v>6.2</c:v>
                </c:pt>
                <c:pt idx="8">
                  <c:v>6.2</c:v>
                </c:pt>
                <c:pt idx="9">
                  <c:v>5.7</c:v>
                </c:pt>
                <c:pt idx="10">
                  <c:v>7.6</c:v>
                </c:pt>
                <c:pt idx="11">
                  <c:v>5.9</c:v>
                </c:pt>
                <c:pt idx="12">
                  <c:v>7</c:v>
                </c:pt>
                <c:pt idx="13">
                  <c:v>7</c:v>
                </c:pt>
                <c:pt idx="14">
                  <c:v>6</c:v>
                </c:pt>
              </c:numCache>
            </c:numRef>
          </c:val>
          <c:smooth val="0"/>
        </c:ser>
        <c:ser>
          <c:idx val="2"/>
          <c:order val="1"/>
          <c:tx>
            <c:strRef>
              <c:f>Sheet3!$A$4</c:f>
              <c:strCache>
                <c:ptCount val="1"/>
                <c:pt idx="0">
                  <c:v>Inflation rate, annual (%)</c:v>
                </c:pt>
              </c:strCache>
            </c:strRef>
          </c:tx>
          <c:spPr>
            <a:ln w="28575" cap="rnd">
              <a:solidFill>
                <a:schemeClr val="accent3"/>
              </a:solidFill>
              <a:round/>
            </a:ln>
            <a:effectLst/>
          </c:spPr>
          <c:marker>
            <c:symbol val="none"/>
          </c:marker>
          <c:cat>
            <c:numRef>
              <c:f>Sheet3!$B$1:$P$1</c:f>
              <c:numCache>
                <c:formatCode>General</c:formatCod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numCache>
            </c:numRef>
          </c:cat>
          <c:val>
            <c:numRef>
              <c:f>Sheet3!$B$4:$P$4</c:f>
              <c:numCache>
                <c:formatCode>General</c:formatCode>
                <c:ptCount val="15"/>
                <c:pt idx="0">
                  <c:v>30.1</c:v>
                </c:pt>
                <c:pt idx="1">
                  <c:v>18.7</c:v>
                </c:pt>
                <c:pt idx="2">
                  <c:v>26.7</c:v>
                </c:pt>
                <c:pt idx="3">
                  <c:v>17.2</c:v>
                </c:pt>
                <c:pt idx="4">
                  <c:v>17.5</c:v>
                </c:pt>
                <c:pt idx="5">
                  <c:v>15.9</c:v>
                </c:pt>
                <c:pt idx="6">
                  <c:v>8.2000000000000011</c:v>
                </c:pt>
                <c:pt idx="7">
                  <c:v>8.9</c:v>
                </c:pt>
                <c:pt idx="8">
                  <c:v>16.600000000000001</c:v>
                </c:pt>
                <c:pt idx="9">
                  <c:v>9.9</c:v>
                </c:pt>
                <c:pt idx="10">
                  <c:v>11.7</c:v>
                </c:pt>
                <c:pt idx="11">
                  <c:v>13.5</c:v>
                </c:pt>
                <c:pt idx="12">
                  <c:v>4</c:v>
                </c:pt>
                <c:pt idx="13">
                  <c:v>6</c:v>
                </c:pt>
                <c:pt idx="14">
                  <c:v>9</c:v>
                </c:pt>
              </c:numCache>
            </c:numRef>
          </c:val>
          <c:smooth val="0"/>
        </c:ser>
        <c:dLbls>
          <c:showLegendKey val="0"/>
          <c:showVal val="0"/>
          <c:showCatName val="0"/>
          <c:showSerName val="0"/>
          <c:showPercent val="0"/>
          <c:showBubbleSize val="0"/>
        </c:dLbls>
        <c:marker val="1"/>
        <c:smooth val="0"/>
        <c:axId val="98299904"/>
        <c:axId val="98301440"/>
      </c:lineChart>
      <c:catAx>
        <c:axId val="98299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8301440"/>
        <c:crosses val="autoZero"/>
        <c:auto val="1"/>
        <c:lblAlgn val="ctr"/>
        <c:lblOffset val="100"/>
        <c:noMultiLvlLbl val="0"/>
      </c:catAx>
      <c:valAx>
        <c:axId val="983014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82999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Sheet4!$B$1</c:f>
              <c:strCache>
                <c:ptCount val="1"/>
                <c:pt idx="0">
                  <c:v>Males</c:v>
                </c:pt>
              </c:strCache>
            </c:strRef>
          </c:tx>
          <c:spPr>
            <a:solidFill>
              <a:schemeClr val="accent1"/>
            </a:solidFill>
            <a:ln>
              <a:noFill/>
            </a:ln>
            <a:effectLst/>
          </c:spPr>
          <c:invertIfNegative val="0"/>
          <c:cat>
            <c:strRef>
              <c:f>Sheet4!$A$2:$A$8</c:f>
              <c:strCache>
                <c:ptCount val="7"/>
                <c:pt idx="0">
                  <c:v>Grade 1</c:v>
                </c:pt>
                <c:pt idx="1">
                  <c:v>Grade 2</c:v>
                </c:pt>
                <c:pt idx="2">
                  <c:v>Grade 3</c:v>
                </c:pt>
                <c:pt idx="3">
                  <c:v>Grade 4</c:v>
                </c:pt>
                <c:pt idx="4">
                  <c:v>Grade 5</c:v>
                </c:pt>
                <c:pt idx="5">
                  <c:v>Grade 6</c:v>
                </c:pt>
                <c:pt idx="6">
                  <c:v>Grade 7</c:v>
                </c:pt>
              </c:strCache>
            </c:strRef>
          </c:cat>
          <c:val>
            <c:numRef>
              <c:f>Sheet4!$B$2:$B$8</c:f>
              <c:numCache>
                <c:formatCode>General</c:formatCode>
                <c:ptCount val="7"/>
                <c:pt idx="0">
                  <c:v>93.2</c:v>
                </c:pt>
                <c:pt idx="1">
                  <c:v>96.6</c:v>
                </c:pt>
                <c:pt idx="2">
                  <c:v>94.4</c:v>
                </c:pt>
                <c:pt idx="3">
                  <c:v>90.9</c:v>
                </c:pt>
                <c:pt idx="4">
                  <c:v>88.3</c:v>
                </c:pt>
                <c:pt idx="5">
                  <c:v>84.5</c:v>
                </c:pt>
                <c:pt idx="6">
                  <c:v>63.1</c:v>
                </c:pt>
              </c:numCache>
            </c:numRef>
          </c:val>
        </c:ser>
        <c:ser>
          <c:idx val="1"/>
          <c:order val="1"/>
          <c:tx>
            <c:strRef>
              <c:f>Sheet4!$C$1</c:f>
              <c:strCache>
                <c:ptCount val="1"/>
                <c:pt idx="0">
                  <c:v>Females</c:v>
                </c:pt>
              </c:strCache>
            </c:strRef>
          </c:tx>
          <c:spPr>
            <a:solidFill>
              <a:schemeClr val="accent2"/>
            </a:solidFill>
            <a:ln>
              <a:noFill/>
            </a:ln>
            <a:effectLst/>
          </c:spPr>
          <c:invertIfNegative val="0"/>
          <c:cat>
            <c:strRef>
              <c:f>Sheet4!$A$2:$A$8</c:f>
              <c:strCache>
                <c:ptCount val="7"/>
                <c:pt idx="0">
                  <c:v>Grade 1</c:v>
                </c:pt>
                <c:pt idx="1">
                  <c:v>Grade 2</c:v>
                </c:pt>
                <c:pt idx="2">
                  <c:v>Grade 3</c:v>
                </c:pt>
                <c:pt idx="3">
                  <c:v>Grade 4</c:v>
                </c:pt>
                <c:pt idx="4">
                  <c:v>Grade 5</c:v>
                </c:pt>
                <c:pt idx="5">
                  <c:v>Grade 6</c:v>
                </c:pt>
                <c:pt idx="6">
                  <c:v>Grade 7</c:v>
                </c:pt>
              </c:strCache>
            </c:strRef>
          </c:cat>
          <c:val>
            <c:numRef>
              <c:f>Sheet4!$C$2:$C$8</c:f>
              <c:numCache>
                <c:formatCode>General</c:formatCode>
                <c:ptCount val="7"/>
                <c:pt idx="0">
                  <c:v>92.1</c:v>
                </c:pt>
                <c:pt idx="1">
                  <c:v>96</c:v>
                </c:pt>
                <c:pt idx="2">
                  <c:v>95.3</c:v>
                </c:pt>
                <c:pt idx="3">
                  <c:v>90.1</c:v>
                </c:pt>
                <c:pt idx="4">
                  <c:v>87</c:v>
                </c:pt>
                <c:pt idx="5">
                  <c:v>84</c:v>
                </c:pt>
                <c:pt idx="6">
                  <c:v>60.6</c:v>
                </c:pt>
              </c:numCache>
            </c:numRef>
          </c:val>
        </c:ser>
        <c:ser>
          <c:idx val="2"/>
          <c:order val="2"/>
          <c:tx>
            <c:strRef>
              <c:f>Sheet4!$D$1</c:f>
              <c:strCache>
                <c:ptCount val="1"/>
                <c:pt idx="0">
                  <c:v>Total</c:v>
                </c:pt>
              </c:strCache>
            </c:strRef>
          </c:tx>
          <c:spPr>
            <a:solidFill>
              <a:schemeClr val="accent3"/>
            </a:solidFill>
            <a:ln>
              <a:noFill/>
            </a:ln>
            <a:effectLst/>
          </c:spPr>
          <c:invertIfNegative val="0"/>
          <c:trendline>
            <c:spPr>
              <a:ln w="19050" cap="rnd">
                <a:solidFill>
                  <a:schemeClr val="accent3"/>
                </a:solidFill>
                <a:prstDash val="sysDot"/>
              </a:ln>
              <a:effectLst/>
            </c:spPr>
            <c:trendlineType val="linear"/>
            <c:dispRSqr val="0"/>
            <c:dispEq val="0"/>
          </c:trendline>
          <c:cat>
            <c:strRef>
              <c:f>Sheet4!$A$2:$A$8</c:f>
              <c:strCache>
                <c:ptCount val="7"/>
                <c:pt idx="0">
                  <c:v>Grade 1</c:v>
                </c:pt>
                <c:pt idx="1">
                  <c:v>Grade 2</c:v>
                </c:pt>
                <c:pt idx="2">
                  <c:v>Grade 3</c:v>
                </c:pt>
                <c:pt idx="3">
                  <c:v>Grade 4</c:v>
                </c:pt>
                <c:pt idx="4">
                  <c:v>Grade 5</c:v>
                </c:pt>
                <c:pt idx="5">
                  <c:v>Grade 6</c:v>
                </c:pt>
                <c:pt idx="6">
                  <c:v>Grade 7</c:v>
                </c:pt>
              </c:strCache>
            </c:strRef>
          </c:cat>
          <c:val>
            <c:numRef>
              <c:f>Sheet4!$D$2:$D$8</c:f>
              <c:numCache>
                <c:formatCode>General</c:formatCode>
                <c:ptCount val="7"/>
                <c:pt idx="0">
                  <c:v>92.6</c:v>
                </c:pt>
                <c:pt idx="1">
                  <c:v>96.3</c:v>
                </c:pt>
                <c:pt idx="2">
                  <c:v>94.9</c:v>
                </c:pt>
                <c:pt idx="3">
                  <c:v>90.5</c:v>
                </c:pt>
                <c:pt idx="4">
                  <c:v>87.7</c:v>
                </c:pt>
                <c:pt idx="5">
                  <c:v>84.3</c:v>
                </c:pt>
                <c:pt idx="6">
                  <c:v>61.9</c:v>
                </c:pt>
              </c:numCache>
            </c:numRef>
          </c:val>
        </c:ser>
        <c:dLbls>
          <c:showLegendKey val="0"/>
          <c:showVal val="0"/>
          <c:showCatName val="0"/>
          <c:showSerName val="0"/>
          <c:showPercent val="0"/>
          <c:showBubbleSize val="0"/>
        </c:dLbls>
        <c:gapWidth val="219"/>
        <c:overlap val="-27"/>
        <c:axId val="116228480"/>
        <c:axId val="116230016"/>
      </c:barChart>
      <c:catAx>
        <c:axId val="116228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6230016"/>
        <c:crosses val="autoZero"/>
        <c:auto val="1"/>
        <c:lblAlgn val="ctr"/>
        <c:lblOffset val="100"/>
        <c:noMultiLvlLbl val="0"/>
      </c:catAx>
      <c:valAx>
        <c:axId val="11623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62284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Sheet12!$A$2</c:f>
              <c:strCache>
                <c:ptCount val="1"/>
                <c:pt idx="0">
                  <c:v>Total</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Sheet12!$B$1:$F$1</c:f>
              <c:numCache>
                <c:formatCode>General</c:formatCode>
                <c:ptCount val="5"/>
                <c:pt idx="0">
                  <c:v>1990</c:v>
                </c:pt>
                <c:pt idx="1">
                  <c:v>2000</c:v>
                </c:pt>
                <c:pt idx="2">
                  <c:v>2003</c:v>
                </c:pt>
                <c:pt idx="3">
                  <c:v>2004</c:v>
                </c:pt>
                <c:pt idx="4">
                  <c:v>2010</c:v>
                </c:pt>
              </c:numCache>
            </c:numRef>
          </c:cat>
          <c:val>
            <c:numRef>
              <c:f>Sheet12!$B$2:$F$2</c:f>
              <c:numCache>
                <c:formatCode>General</c:formatCode>
                <c:ptCount val="5"/>
                <c:pt idx="0">
                  <c:v>74.900000000000006</c:v>
                </c:pt>
                <c:pt idx="1">
                  <c:v>70</c:v>
                </c:pt>
                <c:pt idx="2">
                  <c:v>75</c:v>
                </c:pt>
                <c:pt idx="3">
                  <c:v>70</c:v>
                </c:pt>
                <c:pt idx="4">
                  <c:v>88.7</c:v>
                </c:pt>
              </c:numCache>
            </c:numRef>
          </c:val>
          <c:smooth val="0"/>
        </c:ser>
        <c:ser>
          <c:idx val="1"/>
          <c:order val="1"/>
          <c:tx>
            <c:strRef>
              <c:f>Sheet12!$A$3</c:f>
              <c:strCache>
                <c:ptCount val="1"/>
                <c:pt idx="0">
                  <c:v>Girls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Sheet12!$B$1:$F$1</c:f>
              <c:numCache>
                <c:formatCode>General</c:formatCode>
                <c:ptCount val="5"/>
                <c:pt idx="0">
                  <c:v>1990</c:v>
                </c:pt>
                <c:pt idx="1">
                  <c:v>2000</c:v>
                </c:pt>
                <c:pt idx="2">
                  <c:v>2003</c:v>
                </c:pt>
                <c:pt idx="3">
                  <c:v>2004</c:v>
                </c:pt>
                <c:pt idx="4">
                  <c:v>2010</c:v>
                </c:pt>
              </c:numCache>
            </c:numRef>
          </c:cat>
          <c:val>
            <c:numRef>
              <c:f>Sheet12!$B$3:$F$3</c:f>
              <c:numCache>
                <c:formatCode>General</c:formatCode>
                <c:ptCount val="5"/>
                <c:pt idx="0">
                  <c:v>71.2</c:v>
                </c:pt>
                <c:pt idx="1">
                  <c:v>66</c:v>
                </c:pt>
                <c:pt idx="2">
                  <c:v>70</c:v>
                </c:pt>
                <c:pt idx="3">
                  <c:v>66</c:v>
                </c:pt>
                <c:pt idx="4">
                  <c:v>86.5</c:v>
                </c:pt>
              </c:numCache>
            </c:numRef>
          </c:val>
          <c:smooth val="0"/>
        </c:ser>
        <c:ser>
          <c:idx val="2"/>
          <c:order val="2"/>
          <c:tx>
            <c:strRef>
              <c:f>Sheet12!$A$4</c:f>
              <c:strCache>
                <c:ptCount val="1"/>
                <c:pt idx="0">
                  <c:v>Boys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Sheet12!$B$1:$F$1</c:f>
              <c:numCache>
                <c:formatCode>General</c:formatCode>
                <c:ptCount val="5"/>
                <c:pt idx="0">
                  <c:v>1990</c:v>
                </c:pt>
                <c:pt idx="1">
                  <c:v>2000</c:v>
                </c:pt>
                <c:pt idx="2">
                  <c:v>2003</c:v>
                </c:pt>
                <c:pt idx="3">
                  <c:v>2004</c:v>
                </c:pt>
                <c:pt idx="4">
                  <c:v>2010</c:v>
                </c:pt>
              </c:numCache>
            </c:numRef>
          </c:cat>
          <c:val>
            <c:numRef>
              <c:f>Sheet12!$B$4:$F$4</c:f>
              <c:numCache>
                <c:formatCode>General</c:formatCode>
                <c:ptCount val="5"/>
                <c:pt idx="0">
                  <c:v>78.900000000000006</c:v>
                </c:pt>
                <c:pt idx="1">
                  <c:v>75</c:v>
                </c:pt>
                <c:pt idx="2">
                  <c:v>75</c:v>
                </c:pt>
                <c:pt idx="3">
                  <c:v>75</c:v>
                </c:pt>
                <c:pt idx="4">
                  <c:v>91.2</c:v>
                </c:pt>
              </c:numCache>
            </c:numRef>
          </c:val>
          <c:smooth val="0"/>
        </c:ser>
        <c:dLbls>
          <c:showLegendKey val="0"/>
          <c:showVal val="0"/>
          <c:showCatName val="0"/>
          <c:showSerName val="0"/>
          <c:showPercent val="0"/>
          <c:showBubbleSize val="0"/>
        </c:dLbls>
        <c:marker val="1"/>
        <c:smooth val="0"/>
        <c:axId val="120167424"/>
        <c:axId val="120169600"/>
      </c:lineChart>
      <c:catAx>
        <c:axId val="1201674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169600"/>
        <c:crosses val="autoZero"/>
        <c:auto val="1"/>
        <c:lblAlgn val="ctr"/>
        <c:lblOffset val="100"/>
        <c:noMultiLvlLbl val="0"/>
      </c:catAx>
      <c:valAx>
        <c:axId val="1201696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Youth Literacy Rates (%)</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16742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Sheet1!$A$8</c:f>
              <c:strCache>
                <c:ptCount val="1"/>
                <c:pt idx="0">
                  <c:v>Primary</c:v>
                </c:pt>
              </c:strCache>
            </c:strRef>
          </c:tx>
          <c:spPr>
            <a:solidFill>
              <a:schemeClr val="accent1"/>
            </a:solidFill>
            <a:ln>
              <a:noFill/>
            </a:ln>
            <a:effectLst/>
          </c:spPr>
          <c:invertIfNegative val="0"/>
          <c:cat>
            <c:strRef>
              <c:f>Sheet1!$B$7:$J$7</c:f>
              <c:strCache>
                <c:ptCount val="9"/>
                <c:pt idx="0">
                  <c:v>2006</c:v>
                </c:pt>
                <c:pt idx="1">
                  <c:v>2007</c:v>
                </c:pt>
                <c:pt idx="2">
                  <c:v>2008</c:v>
                </c:pt>
                <c:pt idx="3">
                  <c:v>2009</c:v>
                </c:pt>
                <c:pt idx="4">
                  <c:v>2010</c:v>
                </c:pt>
                <c:pt idx="5">
                  <c:v>2011</c:v>
                </c:pt>
                <c:pt idx="6">
                  <c:v>2012</c:v>
                </c:pt>
                <c:pt idx="7">
                  <c:v>2013</c:v>
                </c:pt>
                <c:pt idx="8">
                  <c:v>Target 2015</c:v>
                </c:pt>
              </c:strCache>
            </c:strRef>
          </c:cat>
          <c:val>
            <c:numRef>
              <c:f>Sheet1!$B$8:$J$8</c:f>
              <c:numCache>
                <c:formatCode>General</c:formatCode>
                <c:ptCount val="9"/>
                <c:pt idx="0">
                  <c:v>0.96000000000000019</c:v>
                </c:pt>
                <c:pt idx="1">
                  <c:v>0.96000000000000019</c:v>
                </c:pt>
                <c:pt idx="2">
                  <c:v>0.96000000000000019</c:v>
                </c:pt>
                <c:pt idx="3">
                  <c:v>1</c:v>
                </c:pt>
                <c:pt idx="4">
                  <c:v>0.99</c:v>
                </c:pt>
                <c:pt idx="5">
                  <c:v>0.9700000000000002</c:v>
                </c:pt>
                <c:pt idx="6">
                  <c:v>0.99</c:v>
                </c:pt>
                <c:pt idx="7">
                  <c:v>0.99</c:v>
                </c:pt>
                <c:pt idx="8">
                  <c:v>1</c:v>
                </c:pt>
              </c:numCache>
            </c:numRef>
          </c:val>
        </c:ser>
        <c:ser>
          <c:idx val="1"/>
          <c:order val="1"/>
          <c:tx>
            <c:strRef>
              <c:f>Sheet1!$A$9</c:f>
              <c:strCache>
                <c:ptCount val="1"/>
                <c:pt idx="0">
                  <c:v>Secondary</c:v>
                </c:pt>
              </c:strCache>
            </c:strRef>
          </c:tx>
          <c:spPr>
            <a:solidFill>
              <a:schemeClr val="accent2"/>
            </a:solidFill>
            <a:ln>
              <a:noFill/>
            </a:ln>
            <a:effectLst/>
          </c:spPr>
          <c:invertIfNegative val="0"/>
          <c:cat>
            <c:strRef>
              <c:f>Sheet1!$B$7:$J$7</c:f>
              <c:strCache>
                <c:ptCount val="9"/>
                <c:pt idx="0">
                  <c:v>2006</c:v>
                </c:pt>
                <c:pt idx="1">
                  <c:v>2007</c:v>
                </c:pt>
                <c:pt idx="2">
                  <c:v>2008</c:v>
                </c:pt>
                <c:pt idx="3">
                  <c:v>2009</c:v>
                </c:pt>
                <c:pt idx="4">
                  <c:v>2010</c:v>
                </c:pt>
                <c:pt idx="5">
                  <c:v>2011</c:v>
                </c:pt>
                <c:pt idx="6">
                  <c:v>2012</c:v>
                </c:pt>
                <c:pt idx="7">
                  <c:v>2013</c:v>
                </c:pt>
                <c:pt idx="8">
                  <c:v>Target 2015</c:v>
                </c:pt>
              </c:strCache>
            </c:strRef>
          </c:cat>
          <c:val>
            <c:numRef>
              <c:f>Sheet1!$B$9:$J$9</c:f>
              <c:numCache>
                <c:formatCode>General</c:formatCode>
                <c:ptCount val="9"/>
                <c:pt idx="0">
                  <c:v>0.8</c:v>
                </c:pt>
                <c:pt idx="1">
                  <c:v>0.83000000000000018</c:v>
                </c:pt>
                <c:pt idx="2">
                  <c:v>0.82000000000000017</c:v>
                </c:pt>
                <c:pt idx="3">
                  <c:v>0.93</c:v>
                </c:pt>
                <c:pt idx="4">
                  <c:v>0.86000000000000021</c:v>
                </c:pt>
                <c:pt idx="5">
                  <c:v>0.82000000000000017</c:v>
                </c:pt>
                <c:pt idx="6">
                  <c:v>0.8</c:v>
                </c:pt>
                <c:pt idx="7">
                  <c:v>0.84000000000000019</c:v>
                </c:pt>
                <c:pt idx="8">
                  <c:v>1</c:v>
                </c:pt>
              </c:numCache>
            </c:numRef>
          </c:val>
        </c:ser>
        <c:dLbls>
          <c:showLegendKey val="0"/>
          <c:showVal val="0"/>
          <c:showCatName val="0"/>
          <c:showSerName val="0"/>
          <c:showPercent val="0"/>
          <c:showBubbleSize val="0"/>
        </c:dLbls>
        <c:gapWidth val="150"/>
        <c:axId val="120136064"/>
        <c:axId val="120137600"/>
      </c:barChart>
      <c:lineChart>
        <c:grouping val="standard"/>
        <c:varyColors val="0"/>
        <c:ser>
          <c:idx val="2"/>
          <c:order val="2"/>
          <c:tx>
            <c:strRef>
              <c:f>Sheet1!$A$10</c:f>
              <c:strCache>
                <c:ptCount val="1"/>
              </c:strCache>
            </c:strRef>
          </c:tx>
          <c:spPr>
            <a:ln w="28575" cap="rnd">
              <a:solidFill>
                <a:schemeClr val="accent3"/>
              </a:solidFill>
              <a:round/>
            </a:ln>
            <a:effectLst/>
          </c:spPr>
          <c:marker>
            <c:symbol val="none"/>
          </c:marker>
          <c:cat>
            <c:strRef>
              <c:f>Sheet1!$B$7:$J$7</c:f>
              <c:strCache>
                <c:ptCount val="9"/>
                <c:pt idx="0">
                  <c:v>2006</c:v>
                </c:pt>
                <c:pt idx="1">
                  <c:v>2007</c:v>
                </c:pt>
                <c:pt idx="2">
                  <c:v>2008</c:v>
                </c:pt>
                <c:pt idx="3">
                  <c:v>2009</c:v>
                </c:pt>
                <c:pt idx="4">
                  <c:v>2010</c:v>
                </c:pt>
                <c:pt idx="5">
                  <c:v>2011</c:v>
                </c:pt>
                <c:pt idx="6">
                  <c:v>2012</c:v>
                </c:pt>
                <c:pt idx="7">
                  <c:v>2013</c:v>
                </c:pt>
                <c:pt idx="8">
                  <c:v>Target 2015</c:v>
                </c:pt>
              </c:strCache>
            </c:strRef>
          </c:cat>
          <c:val>
            <c:numRef>
              <c:f>Sheet1!$B$10:$J$10</c:f>
              <c:numCache>
                <c:formatCode>General</c:formatCode>
                <c:ptCount val="9"/>
              </c:numCache>
            </c:numRef>
          </c:val>
          <c:smooth val="0"/>
        </c:ser>
        <c:dLbls>
          <c:showLegendKey val="0"/>
          <c:showVal val="0"/>
          <c:showCatName val="0"/>
          <c:showSerName val="0"/>
          <c:showPercent val="0"/>
          <c:showBubbleSize val="0"/>
        </c:dLbls>
        <c:marker val="1"/>
        <c:smooth val="0"/>
        <c:axId val="120136064"/>
        <c:axId val="120137600"/>
      </c:lineChart>
      <c:catAx>
        <c:axId val="120136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137600"/>
        <c:crosses val="autoZero"/>
        <c:auto val="1"/>
        <c:lblAlgn val="ctr"/>
        <c:lblOffset val="100"/>
        <c:noMultiLvlLbl val="0"/>
      </c:catAx>
      <c:valAx>
        <c:axId val="1201376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136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pie3DChart>
        <c:varyColors val="1"/>
        <c:ser>
          <c:idx val="0"/>
          <c:order val="0"/>
          <c:dLbls>
            <c:dLbl>
              <c:idx val="5"/>
              <c:layout>
                <c:manualLayout>
                  <c:x val="1.5069991251093621E-3"/>
                  <c:y val="-1.2530985710119581E-2"/>
                </c:manualLayout>
              </c:layout>
              <c:showLegendKey val="0"/>
              <c:showVal val="0"/>
              <c:showCatName val="1"/>
              <c:showSerName val="0"/>
              <c:showPercent val="1"/>
              <c:showBubbleSize val="0"/>
              <c:extLst>
                <c:ext xmlns:c15="http://schemas.microsoft.com/office/drawing/2012/chart" uri="{CE6537A1-D6FC-4f65-9D91-7224C49458BB}"/>
              </c:extLst>
            </c:dLbl>
            <c:dLbl>
              <c:idx val="7"/>
              <c:layout>
                <c:manualLayout>
                  <c:x val="1.3055555555555583E-3"/>
                  <c:y val="1.3192986293379994E-2"/>
                </c:manualLayout>
              </c:layout>
              <c:showLegendKey val="0"/>
              <c:showVal val="0"/>
              <c:showCatName val="1"/>
              <c:showSerName val="0"/>
              <c:showPercent val="1"/>
              <c:showBubbleSize val="0"/>
              <c:extLst>
                <c:ext xmlns:c15="http://schemas.microsoft.com/office/drawing/2012/chart" uri="{CE6537A1-D6FC-4f65-9D91-7224C49458BB}"/>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Sheet3!$H$2:$H$11</c:f>
              <c:strCache>
                <c:ptCount val="10"/>
                <c:pt idx="0">
                  <c:v>General public services</c:v>
                </c:pt>
                <c:pt idx="1">
                  <c:v>Defence</c:v>
                </c:pt>
                <c:pt idx="2">
                  <c:v>Public order and safety</c:v>
                </c:pt>
                <c:pt idx="3">
                  <c:v>Economic affairs</c:v>
                </c:pt>
                <c:pt idx="4">
                  <c:v>Environmental protection</c:v>
                </c:pt>
                <c:pt idx="5">
                  <c:v>Housing &amp; community amenities</c:v>
                </c:pt>
                <c:pt idx="6">
                  <c:v>Health</c:v>
                </c:pt>
                <c:pt idx="7">
                  <c:v>Recreation</c:v>
                </c:pt>
                <c:pt idx="8">
                  <c:v>Education</c:v>
                </c:pt>
                <c:pt idx="9">
                  <c:v>Social protection</c:v>
                </c:pt>
              </c:strCache>
            </c:strRef>
          </c:cat>
          <c:val>
            <c:numRef>
              <c:f>Sheet3!$I$2:$I$11</c:f>
              <c:numCache>
                <c:formatCode>General</c:formatCode>
                <c:ptCount val="10"/>
                <c:pt idx="0">
                  <c:v>29.2</c:v>
                </c:pt>
                <c:pt idx="1">
                  <c:v>6.8500000000000005</c:v>
                </c:pt>
                <c:pt idx="2">
                  <c:v>4.25</c:v>
                </c:pt>
                <c:pt idx="3">
                  <c:v>25.424999999999986</c:v>
                </c:pt>
                <c:pt idx="4">
                  <c:v>0.45</c:v>
                </c:pt>
                <c:pt idx="5">
                  <c:v>2.8749999999999987</c:v>
                </c:pt>
                <c:pt idx="6">
                  <c:v>9.3500000000000068</c:v>
                </c:pt>
                <c:pt idx="7">
                  <c:v>0.60000000000000064</c:v>
                </c:pt>
                <c:pt idx="8">
                  <c:v>18.375</c:v>
                </c:pt>
                <c:pt idx="9">
                  <c:v>2.6500000000000004</c:v>
                </c:pt>
              </c:numCache>
            </c:numRef>
          </c:val>
        </c:ser>
        <c:dLbls>
          <c:showLegendKey val="0"/>
          <c:showVal val="0"/>
          <c:showCatName val="1"/>
          <c:showSerName val="0"/>
          <c:showPercent val="1"/>
          <c:showBubbleSize val="0"/>
          <c:showLeaderLines val="1"/>
        </c:dLbls>
      </c:pie3DChart>
    </c:plotArea>
    <c:plotVisOnly val="1"/>
    <c:dispBlanksAs val="zero"/>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0"/>
          <c:tx>
            <c:strRef>
              <c:f>Sheet1!$A$2</c:f>
              <c:strCache>
                <c:ptCount val="1"/>
                <c:pt idx="0">
                  <c:v>Public Expenditure Alloca on educ.  as % total govt expenditure</c:v>
                </c:pt>
              </c:strCache>
            </c:strRef>
          </c:tx>
          <c:spPr>
            <a:ln w="28575" cap="rnd">
              <a:solidFill>
                <a:schemeClr val="accent2"/>
              </a:solidFill>
              <a:round/>
            </a:ln>
            <a:effectLst/>
          </c:spPr>
          <c:marker>
            <c:symbol val="none"/>
          </c:marker>
          <c:cat>
            <c:numRef>
              <c:f>Sheet1!$B$1:$J$1</c:f>
              <c:numCache>
                <c:formatCode>General</c:formatCode>
                <c:ptCount val="9"/>
                <c:pt idx="0">
                  <c:v>2006</c:v>
                </c:pt>
                <c:pt idx="1">
                  <c:v>2007</c:v>
                </c:pt>
                <c:pt idx="2">
                  <c:v>2008</c:v>
                </c:pt>
                <c:pt idx="3">
                  <c:v>2009</c:v>
                </c:pt>
                <c:pt idx="4">
                  <c:v>2010</c:v>
                </c:pt>
                <c:pt idx="5">
                  <c:v>2011</c:v>
                </c:pt>
                <c:pt idx="6">
                  <c:v>2012</c:v>
                </c:pt>
                <c:pt idx="7">
                  <c:v>2013</c:v>
                </c:pt>
                <c:pt idx="8">
                  <c:v>2014</c:v>
                </c:pt>
              </c:numCache>
            </c:numRef>
          </c:cat>
          <c:val>
            <c:numRef>
              <c:f>Sheet1!$B$2:$J$2</c:f>
              <c:numCache>
                <c:formatCode>General</c:formatCode>
                <c:ptCount val="9"/>
                <c:pt idx="0">
                  <c:v>18.3</c:v>
                </c:pt>
                <c:pt idx="1">
                  <c:v>19.110000000000007</c:v>
                </c:pt>
                <c:pt idx="2">
                  <c:v>19.37</c:v>
                </c:pt>
                <c:pt idx="3">
                  <c:v>17.12</c:v>
                </c:pt>
                <c:pt idx="4">
                  <c:v>19.2</c:v>
                </c:pt>
                <c:pt idx="5">
                  <c:v>18.600000000000001</c:v>
                </c:pt>
                <c:pt idx="6">
                  <c:v>17.5</c:v>
                </c:pt>
                <c:pt idx="7">
                  <c:v>17.5</c:v>
                </c:pt>
                <c:pt idx="8">
                  <c:v>20.2</c:v>
                </c:pt>
              </c:numCache>
            </c:numRef>
          </c:val>
          <c:smooth val="0"/>
        </c:ser>
        <c:ser>
          <c:idx val="2"/>
          <c:order val="1"/>
          <c:tx>
            <c:strRef>
              <c:f>Sheet1!$A$3</c:f>
              <c:strCache>
                <c:ptCount val="1"/>
                <c:pt idx="0">
                  <c:v>Actual expenditure on educ.  as % of total govt expenditure</c:v>
                </c:pt>
              </c:strCache>
            </c:strRef>
          </c:tx>
          <c:spPr>
            <a:ln w="28575" cap="rnd">
              <a:solidFill>
                <a:schemeClr val="accent3"/>
              </a:solidFill>
              <a:round/>
            </a:ln>
            <a:effectLst/>
          </c:spPr>
          <c:marker>
            <c:symbol val="none"/>
          </c:marker>
          <c:cat>
            <c:numRef>
              <c:f>Sheet1!$B$1:$J$1</c:f>
              <c:numCache>
                <c:formatCode>General</c:formatCode>
                <c:ptCount val="9"/>
                <c:pt idx="0">
                  <c:v>2006</c:v>
                </c:pt>
                <c:pt idx="1">
                  <c:v>2007</c:v>
                </c:pt>
                <c:pt idx="2">
                  <c:v>2008</c:v>
                </c:pt>
                <c:pt idx="3">
                  <c:v>2009</c:v>
                </c:pt>
                <c:pt idx="4">
                  <c:v>2010</c:v>
                </c:pt>
                <c:pt idx="5">
                  <c:v>2011</c:v>
                </c:pt>
                <c:pt idx="6">
                  <c:v>2012</c:v>
                </c:pt>
                <c:pt idx="7">
                  <c:v>2013</c:v>
                </c:pt>
                <c:pt idx="8">
                  <c:v>2014</c:v>
                </c:pt>
              </c:numCache>
            </c:numRef>
          </c:cat>
          <c:val>
            <c:numRef>
              <c:f>Sheet1!$B$3:$J$3</c:f>
              <c:numCache>
                <c:formatCode>General</c:formatCode>
                <c:ptCount val="9"/>
                <c:pt idx="3">
                  <c:v>18.899999999999999</c:v>
                </c:pt>
                <c:pt idx="4">
                  <c:v>15.2</c:v>
                </c:pt>
                <c:pt idx="5">
                  <c:v>14.870000000000003</c:v>
                </c:pt>
                <c:pt idx="6">
                  <c:v>12.32</c:v>
                </c:pt>
              </c:numCache>
            </c:numRef>
          </c:val>
          <c:smooth val="0"/>
        </c:ser>
        <c:dLbls>
          <c:showLegendKey val="0"/>
          <c:showVal val="0"/>
          <c:showCatName val="0"/>
          <c:showSerName val="0"/>
          <c:showPercent val="0"/>
          <c:showBubbleSize val="0"/>
        </c:dLbls>
        <c:marker val="1"/>
        <c:smooth val="0"/>
        <c:axId val="126394752"/>
        <c:axId val="126396288"/>
      </c:lineChart>
      <c:catAx>
        <c:axId val="126394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6396288"/>
        <c:crosses val="autoZero"/>
        <c:auto val="1"/>
        <c:lblAlgn val="ctr"/>
        <c:lblOffset val="100"/>
        <c:noMultiLvlLbl val="0"/>
      </c:catAx>
      <c:valAx>
        <c:axId val="1263962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Percent</a:t>
                </a:r>
              </a:p>
            </c:rich>
          </c:tx>
          <c:layout>
            <c:manualLayout>
              <c:xMode val="edge"/>
              <c:yMode val="edge"/>
              <c:x val="0.2619047619047622"/>
              <c:y val="0.36139654418197731"/>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639475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[ObservationData_keycwee.xlsx]ObservationData!$A$2</c:f>
              <c:strCache>
                <c:ptCount val="1"/>
                <c:pt idx="0">
                  <c:v>Government expenditure on tertiary education as % of GDP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[ObservationData_keycwee.xlsx]ObservationData!$B$1:$H$1</c:f>
              <c:strCache>
                <c:ptCount val="7"/>
                <c:pt idx="0">
                  <c:v>1998</c:v>
                </c:pt>
                <c:pt idx="1">
                  <c:v>1999</c:v>
                </c:pt>
                <c:pt idx="2">
                  <c:v>2000</c:v>
                </c:pt>
                <c:pt idx="3">
                  <c:v>2004</c:v>
                </c:pt>
                <c:pt idx="4">
                  <c:v>2005</c:v>
                </c:pt>
                <c:pt idx="5">
                  <c:v>2007</c:v>
                </c:pt>
                <c:pt idx="6">
                  <c:v>2008</c:v>
                </c:pt>
              </c:strCache>
            </c:strRef>
          </c:cat>
          <c:val>
            <c:numRef>
              <c:f>[ObservationData_keycwee.xlsx]ObservationData!$B$2:$H$2</c:f>
              <c:numCache>
                <c:formatCode>#.0;\-#.0;0.0;@</c:formatCode>
                <c:ptCount val="7"/>
                <c:pt idx="0">
                  <c:v>0</c:v>
                </c:pt>
                <c:pt idx="1">
                  <c:v>0</c:v>
                </c:pt>
                <c:pt idx="2">
                  <c:v>0.34</c:v>
                </c:pt>
                <c:pt idx="3">
                  <c:v>0.44</c:v>
                </c:pt>
                <c:pt idx="4">
                  <c:v>0.44</c:v>
                </c:pt>
                <c:pt idx="5">
                  <c:v>0</c:v>
                </c:pt>
                <c:pt idx="6">
                  <c:v>0</c:v>
                </c:pt>
              </c:numCache>
            </c:numRef>
          </c:val>
          <c:smooth val="0"/>
        </c:ser>
        <c:ser>
          <c:idx val="1"/>
          <c:order val="1"/>
          <c:tx>
            <c:strRef>
              <c:f>[ObservationData_keycwee.xlsx]ObservationData!$A$3</c:f>
              <c:strCache>
                <c:ptCount val="1"/>
                <c:pt idx="0">
                  <c:v>Government expenditure on primary education as % of GDP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[ObservationData_keycwee.xlsx]ObservationData!$B$1:$H$1</c:f>
              <c:strCache>
                <c:ptCount val="7"/>
                <c:pt idx="0">
                  <c:v>1998</c:v>
                </c:pt>
                <c:pt idx="1">
                  <c:v>1999</c:v>
                </c:pt>
                <c:pt idx="2">
                  <c:v>2000</c:v>
                </c:pt>
                <c:pt idx="3">
                  <c:v>2004</c:v>
                </c:pt>
                <c:pt idx="4">
                  <c:v>2005</c:v>
                </c:pt>
                <c:pt idx="5">
                  <c:v>2007</c:v>
                </c:pt>
                <c:pt idx="6">
                  <c:v>2008</c:v>
                </c:pt>
              </c:strCache>
            </c:strRef>
          </c:cat>
          <c:val>
            <c:numRef>
              <c:f>[ObservationData_keycwee.xlsx]ObservationData!$B$3:$H$3</c:f>
              <c:numCache>
                <c:formatCode>#.0;\-#.0;0.0;@</c:formatCode>
                <c:ptCount val="7"/>
                <c:pt idx="0">
                  <c:v>0</c:v>
                </c:pt>
                <c:pt idx="1">
                  <c:v>0</c:v>
                </c:pt>
                <c:pt idx="2">
                  <c:v>0.9790000000000002</c:v>
                </c:pt>
                <c:pt idx="3">
                  <c:v>1.57</c:v>
                </c:pt>
                <c:pt idx="4">
                  <c:v>1.03</c:v>
                </c:pt>
                <c:pt idx="5">
                  <c:v>0</c:v>
                </c:pt>
                <c:pt idx="6">
                  <c:v>0</c:v>
                </c:pt>
              </c:numCache>
            </c:numRef>
          </c:val>
          <c:smooth val="0"/>
        </c:ser>
        <c:ser>
          <c:idx val="2"/>
          <c:order val="2"/>
          <c:tx>
            <c:strRef>
              <c:f>[ObservationData_keycwee.xlsx]ObservationData!$A$4</c:f>
              <c:strCache>
                <c:ptCount val="1"/>
                <c:pt idx="0">
                  <c:v>Government expenditure on secondary education as % of GDP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[ObservationData_keycwee.xlsx]ObservationData!$B$1:$H$1</c:f>
              <c:strCache>
                <c:ptCount val="7"/>
                <c:pt idx="0">
                  <c:v>1998</c:v>
                </c:pt>
                <c:pt idx="1">
                  <c:v>1999</c:v>
                </c:pt>
                <c:pt idx="2">
                  <c:v>2000</c:v>
                </c:pt>
                <c:pt idx="3">
                  <c:v>2004</c:v>
                </c:pt>
                <c:pt idx="4">
                  <c:v>2005</c:v>
                </c:pt>
                <c:pt idx="5">
                  <c:v>2007</c:v>
                </c:pt>
                <c:pt idx="6">
                  <c:v>2008</c:v>
                </c:pt>
              </c:strCache>
            </c:strRef>
          </c:cat>
          <c:val>
            <c:numRef>
              <c:f>[ObservationData_keycwee.xlsx]ObservationData!$B$4:$H$4</c:f>
              <c:numCache>
                <c:formatCode>#.0;\-#.0;0.0;@</c:formatCode>
                <c:ptCount val="7"/>
                <c:pt idx="0">
                  <c:v>0</c:v>
                </c:pt>
                <c:pt idx="1">
                  <c:v>0</c:v>
                </c:pt>
                <c:pt idx="2">
                  <c:v>0.46</c:v>
                </c:pt>
                <c:pt idx="3">
                  <c:v>0.32000000000000012</c:v>
                </c:pt>
                <c:pt idx="4">
                  <c:v>0.25</c:v>
                </c:pt>
                <c:pt idx="5">
                  <c:v>0</c:v>
                </c:pt>
                <c:pt idx="6">
                  <c:v>0</c:v>
                </c:pt>
              </c:numCache>
            </c:numRef>
          </c:val>
          <c:smooth val="0"/>
        </c:ser>
        <c:ser>
          <c:idx val="3"/>
          <c:order val="3"/>
          <c:tx>
            <c:strRef>
              <c:f>[ObservationData_keycwee.xlsx]ObservationData!$A$5</c:f>
              <c:strCache>
                <c:ptCount val="1"/>
                <c:pt idx="0">
                  <c:v>Government expenditure on education as % of GDP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[ObservationData_keycwee.xlsx]ObservationData!$B$1:$H$1</c:f>
              <c:strCache>
                <c:ptCount val="7"/>
                <c:pt idx="0">
                  <c:v>1998</c:v>
                </c:pt>
                <c:pt idx="1">
                  <c:v>1999</c:v>
                </c:pt>
                <c:pt idx="2">
                  <c:v>2000</c:v>
                </c:pt>
                <c:pt idx="3">
                  <c:v>2004</c:v>
                </c:pt>
                <c:pt idx="4">
                  <c:v>2005</c:v>
                </c:pt>
                <c:pt idx="5">
                  <c:v>2007</c:v>
                </c:pt>
                <c:pt idx="6">
                  <c:v>2008</c:v>
                </c:pt>
              </c:strCache>
            </c:strRef>
          </c:cat>
          <c:val>
            <c:numRef>
              <c:f>[ObservationData_keycwee.xlsx]ObservationData!$B$5:$H$5</c:f>
              <c:numCache>
                <c:formatCode>#.0;\-#.0;0.0;@</c:formatCode>
                <c:ptCount val="7"/>
                <c:pt idx="0" formatCode="#;\-#;0;@">
                  <c:v>2.11</c:v>
                </c:pt>
                <c:pt idx="1">
                  <c:v>1.77</c:v>
                </c:pt>
                <c:pt idx="2">
                  <c:v>1.78</c:v>
                </c:pt>
                <c:pt idx="3">
                  <c:v>2.46</c:v>
                </c:pt>
                <c:pt idx="4">
                  <c:v>1.73</c:v>
                </c:pt>
                <c:pt idx="5">
                  <c:v>1.24</c:v>
                </c:pt>
                <c:pt idx="6">
                  <c:v>1.0900000000000001</c:v>
                </c:pt>
              </c:numCache>
            </c:numRef>
          </c:val>
          <c:smooth val="0"/>
        </c:ser>
        <c:ser>
          <c:idx val="4"/>
          <c:order val="4"/>
          <c:tx>
            <c:strRef>
              <c:f>[ObservationData_keycwee.xlsx]ObservationData!$A$6</c:f>
              <c:strCache>
                <c:ptCount val="1"/>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[ObservationData_keycwee.xlsx]ObservationData!$B$1:$H$1</c:f>
              <c:strCache>
                <c:ptCount val="7"/>
                <c:pt idx="0">
                  <c:v>1998</c:v>
                </c:pt>
                <c:pt idx="1">
                  <c:v>1999</c:v>
                </c:pt>
                <c:pt idx="2">
                  <c:v>2000</c:v>
                </c:pt>
                <c:pt idx="3">
                  <c:v>2004</c:v>
                </c:pt>
                <c:pt idx="4">
                  <c:v>2005</c:v>
                </c:pt>
                <c:pt idx="5">
                  <c:v>2007</c:v>
                </c:pt>
                <c:pt idx="6">
                  <c:v>2008</c:v>
                </c:pt>
              </c:strCache>
            </c:strRef>
          </c:cat>
          <c:val>
            <c:numRef>
              <c:f>[ObservationData_keycwee.xlsx]ObservationData!$B$6:$H$6</c:f>
              <c:numCache>
                <c:formatCode>General</c:formatCode>
                <c:ptCount val="7"/>
              </c:numCache>
            </c:numRef>
          </c:val>
          <c:smooth val="0"/>
        </c:ser>
        <c:dLbls>
          <c:showLegendKey val="0"/>
          <c:showVal val="0"/>
          <c:showCatName val="0"/>
          <c:showSerName val="0"/>
          <c:showPercent val="0"/>
          <c:showBubbleSize val="0"/>
        </c:dLbls>
        <c:dropLines>
          <c:spPr>
            <a:ln w="9525" cap="flat" cmpd="sng" algn="ctr">
              <a:solidFill>
                <a:schemeClr val="tx1">
                  <a:lumMod val="35000"/>
                  <a:lumOff val="65000"/>
                </a:schemeClr>
              </a:solidFill>
              <a:round/>
            </a:ln>
            <a:effectLst/>
          </c:spPr>
        </c:dropLines>
        <c:marker val="1"/>
        <c:smooth val="0"/>
        <c:axId val="126175872"/>
        <c:axId val="126194432"/>
      </c:lineChart>
      <c:catAx>
        <c:axId val="126175872"/>
        <c:scaling>
          <c:orientation val="minMax"/>
        </c:scaling>
        <c:delete val="0"/>
        <c:axPos val="b"/>
        <c:title>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6194432"/>
        <c:crosses val="autoZero"/>
        <c:auto val="1"/>
        <c:lblAlgn val="ctr"/>
        <c:lblOffset val="100"/>
        <c:noMultiLvlLbl val="0"/>
      </c:catAx>
      <c:valAx>
        <c:axId val="1261944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a:t>
                </a:r>
              </a:p>
            </c:rich>
          </c:tx>
          <c:overlay val="0"/>
          <c:spPr>
            <a:noFill/>
            <a:ln>
              <a:noFill/>
            </a:ln>
            <a:effectLst/>
          </c:spPr>
        </c:title>
        <c:numFmt formatCode="#.0;\-#.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6175872"/>
        <c:crosses val="autoZero"/>
        <c:crossBetween val="between"/>
      </c:valAx>
      <c:spPr>
        <a:noFill/>
        <a:ln>
          <a:noFill/>
        </a:ln>
        <a:effectLst/>
      </c:spPr>
    </c:plotArea>
    <c:legend>
      <c:legendPos val="r"/>
      <c:legendEntry>
        <c:idx val="4"/>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Sheet2!$A$2</c:f>
              <c:strCache>
                <c:ptCount val="1"/>
                <c:pt idx="0">
                  <c:v>Direct taxes (USD billion)</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Sheet2!$B$1:$G$1</c:f>
              <c:numCache>
                <c:formatCode>General</c:formatCode>
                <c:ptCount val="6"/>
                <c:pt idx="0">
                  <c:v>2009</c:v>
                </c:pt>
                <c:pt idx="1">
                  <c:v>2010</c:v>
                </c:pt>
                <c:pt idx="2">
                  <c:v>2011</c:v>
                </c:pt>
                <c:pt idx="3">
                  <c:v>2012</c:v>
                </c:pt>
                <c:pt idx="4">
                  <c:v>2013</c:v>
                </c:pt>
                <c:pt idx="5">
                  <c:v>2014</c:v>
                </c:pt>
              </c:numCache>
            </c:numRef>
          </c:cat>
          <c:val>
            <c:numRef>
              <c:f>Sheet2!$B$2:$G$2</c:f>
              <c:numCache>
                <c:formatCode>General</c:formatCode>
                <c:ptCount val="6"/>
                <c:pt idx="0">
                  <c:v>1.01</c:v>
                </c:pt>
                <c:pt idx="1">
                  <c:v>1.44</c:v>
                </c:pt>
                <c:pt idx="2">
                  <c:v>2.9</c:v>
                </c:pt>
                <c:pt idx="3">
                  <c:v>2</c:v>
                </c:pt>
                <c:pt idx="4">
                  <c:v>1.82</c:v>
                </c:pt>
              </c:numCache>
            </c:numRef>
          </c:val>
          <c:smooth val="0"/>
        </c:ser>
        <c:ser>
          <c:idx val="1"/>
          <c:order val="1"/>
          <c:tx>
            <c:strRef>
              <c:f>Sheet2!$A$3</c:f>
              <c:strCache>
                <c:ptCount val="1"/>
                <c:pt idx="0">
                  <c:v>Domestic Indirect taxes (USD billion)</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Sheet2!$B$1:$G$1</c:f>
              <c:numCache>
                <c:formatCode>General</c:formatCode>
                <c:ptCount val="6"/>
                <c:pt idx="0">
                  <c:v>2009</c:v>
                </c:pt>
                <c:pt idx="1">
                  <c:v>2010</c:v>
                </c:pt>
                <c:pt idx="2">
                  <c:v>2011</c:v>
                </c:pt>
                <c:pt idx="3">
                  <c:v>2012</c:v>
                </c:pt>
                <c:pt idx="4">
                  <c:v>2013</c:v>
                </c:pt>
                <c:pt idx="5">
                  <c:v>2014</c:v>
                </c:pt>
              </c:numCache>
            </c:numRef>
          </c:cat>
          <c:val>
            <c:numRef>
              <c:f>Sheet2!$B$3:$G$3</c:f>
              <c:numCache>
                <c:formatCode>General</c:formatCode>
                <c:ptCount val="6"/>
                <c:pt idx="0">
                  <c:v>0.4900000000000001</c:v>
                </c:pt>
                <c:pt idx="1">
                  <c:v>0.66000000000000025</c:v>
                </c:pt>
                <c:pt idx="2">
                  <c:v>0.82000000000000017</c:v>
                </c:pt>
                <c:pt idx="3">
                  <c:v>0.92</c:v>
                </c:pt>
                <c:pt idx="4">
                  <c:v>1.36</c:v>
                </c:pt>
              </c:numCache>
            </c:numRef>
          </c:val>
          <c:smooth val="0"/>
        </c:ser>
        <c:ser>
          <c:idx val="2"/>
          <c:order val="2"/>
          <c:tx>
            <c:strRef>
              <c:f>Sheet2!$A$4</c:f>
              <c:strCache>
                <c:ptCount val="1"/>
                <c:pt idx="0">
                  <c:v>Non-tax revenues (USD Billion)</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Sheet2!$B$1:$G$1</c:f>
              <c:numCache>
                <c:formatCode>General</c:formatCode>
                <c:ptCount val="6"/>
                <c:pt idx="0">
                  <c:v>2009</c:v>
                </c:pt>
                <c:pt idx="1">
                  <c:v>2010</c:v>
                </c:pt>
                <c:pt idx="2">
                  <c:v>2011</c:v>
                </c:pt>
                <c:pt idx="3">
                  <c:v>2012</c:v>
                </c:pt>
                <c:pt idx="4">
                  <c:v>2013</c:v>
                </c:pt>
                <c:pt idx="5">
                  <c:v>2014</c:v>
                </c:pt>
              </c:numCache>
            </c:numRef>
          </c:cat>
          <c:val>
            <c:numRef>
              <c:f>Sheet2!$B$4:$G$4</c:f>
              <c:numCache>
                <c:formatCode>General</c:formatCode>
                <c:ptCount val="6"/>
                <c:pt idx="0">
                  <c:v>0.13</c:v>
                </c:pt>
                <c:pt idx="1">
                  <c:v>0.23</c:v>
                </c:pt>
                <c:pt idx="2">
                  <c:v>0.32000000000000012</c:v>
                </c:pt>
                <c:pt idx="3">
                  <c:v>0.55000000000000004</c:v>
                </c:pt>
                <c:pt idx="4">
                  <c:v>0.59</c:v>
                </c:pt>
              </c:numCache>
            </c:numRef>
          </c:val>
          <c:smooth val="0"/>
        </c:ser>
        <c:ser>
          <c:idx val="3"/>
          <c:order val="3"/>
          <c:tx>
            <c:strRef>
              <c:f>Sheet2!$A$5</c:f>
              <c:strCache>
                <c:ptCount val="1"/>
                <c:pt idx="0">
                  <c:v>Resource rents (USD billion)</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Sheet2!$B$1:$G$1</c:f>
              <c:numCache>
                <c:formatCode>General</c:formatCode>
                <c:ptCount val="6"/>
                <c:pt idx="0">
                  <c:v>2009</c:v>
                </c:pt>
                <c:pt idx="1">
                  <c:v>2010</c:v>
                </c:pt>
                <c:pt idx="2">
                  <c:v>2011</c:v>
                </c:pt>
                <c:pt idx="3">
                  <c:v>2012</c:v>
                </c:pt>
                <c:pt idx="4">
                  <c:v>2013</c:v>
                </c:pt>
                <c:pt idx="5">
                  <c:v>2014</c:v>
                </c:pt>
              </c:numCache>
            </c:numRef>
          </c:cat>
          <c:val>
            <c:numRef>
              <c:f>Sheet2!$B$5:$G$5</c:f>
              <c:numCache>
                <c:formatCode>General</c:formatCode>
                <c:ptCount val="6"/>
                <c:pt idx="0">
                  <c:v>0</c:v>
                </c:pt>
                <c:pt idx="1">
                  <c:v>0</c:v>
                </c:pt>
                <c:pt idx="2">
                  <c:v>0</c:v>
                </c:pt>
                <c:pt idx="3">
                  <c:v>0</c:v>
                </c:pt>
                <c:pt idx="4">
                  <c:v>0</c:v>
                </c:pt>
              </c:numCache>
            </c:numRef>
          </c:val>
          <c:smooth val="0"/>
        </c:ser>
        <c:ser>
          <c:idx val="4"/>
          <c:order val="4"/>
          <c:tx>
            <c:strRef>
              <c:f>Sheet2!$A$6</c:f>
              <c:strCache>
                <c:ptCount val="1"/>
                <c:pt idx="0">
                  <c:v>Trade Taxes USD billion)</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numRef>
              <c:f>Sheet2!$B$1:$G$1</c:f>
              <c:numCache>
                <c:formatCode>General</c:formatCode>
                <c:ptCount val="6"/>
                <c:pt idx="0">
                  <c:v>2009</c:v>
                </c:pt>
                <c:pt idx="1">
                  <c:v>2010</c:v>
                </c:pt>
                <c:pt idx="2">
                  <c:v>2011</c:v>
                </c:pt>
                <c:pt idx="3">
                  <c:v>2012</c:v>
                </c:pt>
                <c:pt idx="4">
                  <c:v>2013</c:v>
                </c:pt>
                <c:pt idx="5">
                  <c:v>2014</c:v>
                </c:pt>
              </c:numCache>
            </c:numRef>
          </c:cat>
          <c:val>
            <c:numRef>
              <c:f>Sheet2!$B$6:$G$6</c:f>
              <c:numCache>
                <c:formatCode>General</c:formatCode>
                <c:ptCount val="6"/>
                <c:pt idx="0">
                  <c:v>0.4200000000000001</c:v>
                </c:pt>
                <c:pt idx="1">
                  <c:v>0.55000000000000004</c:v>
                </c:pt>
                <c:pt idx="2">
                  <c:v>0.70000000000000018</c:v>
                </c:pt>
                <c:pt idx="3">
                  <c:v>0.82000000000000017</c:v>
                </c:pt>
                <c:pt idx="4">
                  <c:v>0.77000000000000024</c:v>
                </c:pt>
              </c:numCache>
            </c:numRef>
          </c:val>
          <c:smooth val="0"/>
        </c:ser>
        <c:ser>
          <c:idx val="5"/>
          <c:order val="5"/>
          <c:tx>
            <c:strRef>
              <c:f>Sheet2!$A$7</c:f>
              <c:strCache>
                <c:ptCount val="1"/>
                <c:pt idx="0">
                  <c:v>Grants (USD billions)</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numRef>
              <c:f>Sheet2!$B$1:$G$1</c:f>
              <c:numCache>
                <c:formatCode>General</c:formatCode>
                <c:ptCount val="6"/>
                <c:pt idx="0">
                  <c:v>2009</c:v>
                </c:pt>
                <c:pt idx="1">
                  <c:v>2010</c:v>
                </c:pt>
                <c:pt idx="2">
                  <c:v>2011</c:v>
                </c:pt>
                <c:pt idx="3">
                  <c:v>2012</c:v>
                </c:pt>
                <c:pt idx="4">
                  <c:v>2013</c:v>
                </c:pt>
                <c:pt idx="5">
                  <c:v>2014</c:v>
                </c:pt>
              </c:numCache>
            </c:numRef>
          </c:cat>
          <c:val>
            <c:numRef>
              <c:f>Sheet2!$B$7:$G$7</c:f>
              <c:numCache>
                <c:formatCode>General</c:formatCode>
                <c:ptCount val="6"/>
                <c:pt idx="0">
                  <c:v>0.37000000000000011</c:v>
                </c:pt>
                <c:pt idx="1">
                  <c:v>0.29000000000000009</c:v>
                </c:pt>
                <c:pt idx="2">
                  <c:v>0.15000000000000005</c:v>
                </c:pt>
                <c:pt idx="3">
                  <c:v>0.4300000000000001</c:v>
                </c:pt>
                <c:pt idx="4">
                  <c:v>0.4</c:v>
                </c:pt>
              </c:numCache>
            </c:numRef>
          </c:val>
          <c:smooth val="0"/>
        </c:ser>
        <c:dLbls>
          <c:showLegendKey val="0"/>
          <c:showVal val="0"/>
          <c:showCatName val="0"/>
          <c:showSerName val="0"/>
          <c:showPercent val="0"/>
          <c:showBubbleSize val="0"/>
        </c:dLbls>
        <c:dropLines>
          <c:spPr>
            <a:ln w="9525" cap="flat" cmpd="sng" algn="ctr">
              <a:solidFill>
                <a:schemeClr val="tx1">
                  <a:lumMod val="35000"/>
                  <a:lumOff val="65000"/>
                </a:schemeClr>
              </a:solidFill>
              <a:round/>
            </a:ln>
            <a:effectLst/>
          </c:spPr>
        </c:dropLines>
        <c:marker val="1"/>
        <c:smooth val="0"/>
        <c:axId val="126215680"/>
        <c:axId val="126217600"/>
      </c:lineChart>
      <c:catAx>
        <c:axId val="12621568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Years</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6217600"/>
        <c:crosses val="autoZero"/>
        <c:auto val="1"/>
        <c:lblAlgn val="ctr"/>
        <c:lblOffset val="100"/>
        <c:noMultiLvlLbl val="0"/>
      </c:catAx>
      <c:valAx>
        <c:axId val="1262176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USD Billions</a:t>
                </a:r>
              </a:p>
            </c:rich>
          </c:tx>
          <c:overlay val="0"/>
          <c:spPr>
            <a:noFill/>
            <a:ln>
              <a:noFill/>
            </a:ln>
            <a:effectLst/>
          </c:sp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621568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Sheet7!$A$2</c:f>
              <c:strCache>
                <c:ptCount val="1"/>
                <c:pt idx="0">
                  <c:v>GDP per capita</c:v>
                </c:pt>
              </c:strCache>
            </c:strRef>
          </c:tx>
          <c:spPr>
            <a:ln w="31750" cap="rnd">
              <a:solidFill>
                <a:schemeClr val="accent1"/>
              </a:solidFill>
              <a:round/>
            </a:ln>
            <a:effectLst/>
          </c:spPr>
          <c:marker>
            <c:symbol val="none"/>
          </c:marker>
          <c:cat>
            <c:numRef>
              <c:f>Sheet7!$B$1:$K$1</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Sheet7!$B$2:$K$2</c:f>
              <c:numCache>
                <c:formatCode>General</c:formatCode>
                <c:ptCount val="10"/>
                <c:pt idx="0">
                  <c:v>890</c:v>
                </c:pt>
                <c:pt idx="1">
                  <c:v>937</c:v>
                </c:pt>
                <c:pt idx="2" formatCode="#,##0">
                  <c:v>1160</c:v>
                </c:pt>
                <c:pt idx="3">
                  <c:v>990</c:v>
                </c:pt>
                <c:pt idx="4" formatCode="#,##0">
                  <c:v>1221</c:v>
                </c:pt>
                <c:pt idx="5" formatCode="#,##0">
                  <c:v>1414</c:v>
                </c:pt>
                <c:pt idx="6" formatCode="#,##0">
                  <c:v>1486</c:v>
                </c:pt>
                <c:pt idx="7" formatCode="#,##0">
                  <c:v>1622</c:v>
                </c:pt>
                <c:pt idx="8" formatCode="#,##0">
                  <c:v>1720</c:v>
                </c:pt>
                <c:pt idx="9" formatCode="#,##0">
                  <c:v>1858</c:v>
                </c:pt>
              </c:numCache>
            </c:numRef>
          </c:val>
          <c:smooth val="0"/>
        </c:ser>
        <c:dLbls>
          <c:showLegendKey val="0"/>
          <c:showVal val="0"/>
          <c:showCatName val="0"/>
          <c:showSerName val="0"/>
          <c:showPercent val="0"/>
          <c:showBubbleSize val="0"/>
        </c:dLbls>
        <c:marker val="1"/>
        <c:smooth val="0"/>
        <c:axId val="77005952"/>
        <c:axId val="77007488"/>
      </c:lineChart>
      <c:catAx>
        <c:axId val="77005952"/>
        <c:scaling>
          <c:orientation val="minMax"/>
        </c:scaling>
        <c:delete val="0"/>
        <c:axPos val="b"/>
        <c:numFmt formatCode="General" sourceLinked="1"/>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77007488"/>
        <c:crosses val="autoZero"/>
        <c:auto val="1"/>
        <c:lblAlgn val="ctr"/>
        <c:lblOffset val="100"/>
        <c:noMultiLvlLbl val="0"/>
      </c:catAx>
      <c:valAx>
        <c:axId val="77007488"/>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r>
                  <a:rPr lang="en-US"/>
                  <a:t>GDP per capita</a:t>
                </a:r>
              </a:p>
            </c:rich>
          </c:tx>
          <c:layout>
            <c:manualLayout>
              <c:xMode val="edge"/>
              <c:yMode val="edge"/>
              <c:x val="0.10097532989099255"/>
              <c:y val="0.37455635753864114"/>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77005952"/>
        <c:crosses val="autoZero"/>
        <c:crossBetween val="between"/>
      </c:valAx>
      <c:dTable>
        <c:showHorzBorder val="1"/>
        <c:showVertBorder val="1"/>
        <c:showOutline val="1"/>
        <c:showKeys val="1"/>
        <c:spPr>
          <a:noFill/>
          <a:ln w="9525">
            <a:solidFill>
              <a:schemeClr val="tx2">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2"/>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Sheet8!$B$1</c:f>
              <c:strCache>
                <c:ptCount val="1"/>
                <c:pt idx="0">
                  <c:v>2006</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Sheet8!$A$2:$A$5</c:f>
              <c:strCache>
                <c:ptCount val="4"/>
                <c:pt idx="0">
                  <c:v>Total poor</c:v>
                </c:pt>
                <c:pt idx="1">
                  <c:v>Extrememly poor</c:v>
                </c:pt>
                <c:pt idx="2">
                  <c:v>Moderately poor</c:v>
                </c:pt>
                <c:pt idx="3">
                  <c:v>Non-poor</c:v>
                </c:pt>
              </c:strCache>
            </c:strRef>
          </c:cat>
          <c:val>
            <c:numRef>
              <c:f>Sheet8!$B$2:$B$5</c:f>
              <c:numCache>
                <c:formatCode>General</c:formatCode>
                <c:ptCount val="4"/>
                <c:pt idx="0">
                  <c:v>62.8</c:v>
                </c:pt>
                <c:pt idx="1">
                  <c:v>42.7</c:v>
                </c:pt>
                <c:pt idx="2">
                  <c:v>20.100000000000001</c:v>
                </c:pt>
                <c:pt idx="3">
                  <c:v>37.200000000000003</c:v>
                </c:pt>
              </c:numCache>
            </c:numRef>
          </c:val>
        </c:ser>
        <c:ser>
          <c:idx val="1"/>
          <c:order val="1"/>
          <c:tx>
            <c:strRef>
              <c:f>Sheet8!$C$1</c:f>
              <c:strCache>
                <c:ptCount val="1"/>
                <c:pt idx="0">
                  <c:v>2010</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Sheet8!$A$2:$A$5</c:f>
              <c:strCache>
                <c:ptCount val="4"/>
                <c:pt idx="0">
                  <c:v>Total poor</c:v>
                </c:pt>
                <c:pt idx="1">
                  <c:v>Extrememly poor</c:v>
                </c:pt>
                <c:pt idx="2">
                  <c:v>Moderately poor</c:v>
                </c:pt>
                <c:pt idx="3">
                  <c:v>Non-poor</c:v>
                </c:pt>
              </c:strCache>
            </c:strRef>
          </c:cat>
          <c:val>
            <c:numRef>
              <c:f>Sheet8!$C$2:$C$5</c:f>
              <c:numCache>
                <c:formatCode>General</c:formatCode>
                <c:ptCount val="4"/>
                <c:pt idx="0">
                  <c:v>60.5</c:v>
                </c:pt>
                <c:pt idx="1">
                  <c:v>42.3</c:v>
                </c:pt>
                <c:pt idx="2">
                  <c:v>18.2</c:v>
                </c:pt>
                <c:pt idx="3">
                  <c:v>39.5</c:v>
                </c:pt>
              </c:numCache>
            </c:numRef>
          </c:val>
        </c:ser>
        <c:dLbls>
          <c:showLegendKey val="0"/>
          <c:showVal val="1"/>
          <c:showCatName val="0"/>
          <c:showSerName val="0"/>
          <c:showPercent val="0"/>
          <c:showBubbleSize val="0"/>
        </c:dLbls>
        <c:gapWidth val="75"/>
        <c:axId val="98256384"/>
        <c:axId val="98257920"/>
      </c:barChart>
      <c:catAx>
        <c:axId val="98256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98257920"/>
        <c:crosses val="autoZero"/>
        <c:auto val="1"/>
        <c:lblAlgn val="ctr"/>
        <c:lblOffset val="100"/>
        <c:noMultiLvlLbl val="0"/>
      </c:catAx>
      <c:valAx>
        <c:axId val="98257920"/>
        <c:scaling>
          <c:orientation val="minMax"/>
        </c:scaling>
        <c:delete val="0"/>
        <c:axPos val="l"/>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82563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Sheet9!$B$1</c:f>
              <c:strCache>
                <c:ptCount val="1"/>
                <c:pt idx="0">
                  <c:v>Rural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Sheet9!$A$2:$A$5</c:f>
              <c:strCache>
                <c:ptCount val="3"/>
                <c:pt idx="0">
                  <c:v>Extremely poor</c:v>
                </c:pt>
                <c:pt idx="1">
                  <c:v>Moderately poor</c:v>
                </c:pt>
                <c:pt idx="2">
                  <c:v>Non-poor</c:v>
                </c:pt>
              </c:strCache>
            </c:strRef>
          </c:cat>
          <c:val>
            <c:numRef>
              <c:f>Sheet9!$B$2:$B$5</c:f>
              <c:numCache>
                <c:formatCode>General</c:formatCode>
                <c:ptCount val="4"/>
                <c:pt idx="0">
                  <c:v>89</c:v>
                </c:pt>
                <c:pt idx="1">
                  <c:v>73</c:v>
                </c:pt>
                <c:pt idx="2">
                  <c:v>36</c:v>
                </c:pt>
              </c:numCache>
            </c:numRef>
          </c:val>
        </c:ser>
        <c:ser>
          <c:idx val="1"/>
          <c:order val="1"/>
          <c:tx>
            <c:strRef>
              <c:f>Sheet9!$C$1</c:f>
              <c:strCache>
                <c:ptCount val="1"/>
                <c:pt idx="0">
                  <c:v>Urban</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Sheet9!$A$2:$A$5</c:f>
              <c:strCache>
                <c:ptCount val="3"/>
                <c:pt idx="0">
                  <c:v>Extremely poor</c:v>
                </c:pt>
                <c:pt idx="1">
                  <c:v>Moderately poor</c:v>
                </c:pt>
                <c:pt idx="2">
                  <c:v>Non-poor</c:v>
                </c:pt>
              </c:strCache>
            </c:strRef>
          </c:cat>
          <c:val>
            <c:numRef>
              <c:f>Sheet9!$C$2:$C$5</c:f>
              <c:numCache>
                <c:formatCode>General</c:formatCode>
                <c:ptCount val="4"/>
                <c:pt idx="0">
                  <c:v>11</c:v>
                </c:pt>
                <c:pt idx="1">
                  <c:v>27</c:v>
                </c:pt>
                <c:pt idx="2">
                  <c:v>64</c:v>
                </c:pt>
              </c:numCache>
            </c:numRef>
          </c:val>
        </c:ser>
        <c:dLbls>
          <c:showLegendKey val="0"/>
          <c:showVal val="1"/>
          <c:showCatName val="0"/>
          <c:showSerName val="0"/>
          <c:showPercent val="0"/>
          <c:showBubbleSize val="0"/>
        </c:dLbls>
        <c:gapWidth val="75"/>
        <c:axId val="96604544"/>
        <c:axId val="96606080"/>
      </c:barChart>
      <c:catAx>
        <c:axId val="96604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6606080"/>
        <c:crosses val="autoZero"/>
        <c:auto val="1"/>
        <c:lblAlgn val="ctr"/>
        <c:lblOffset val="100"/>
        <c:noMultiLvlLbl val="0"/>
      </c:catAx>
      <c:valAx>
        <c:axId val="9660608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66045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Sheet4!$A$2</c:f>
              <c:strCache>
                <c:ptCount val="1"/>
                <c:pt idx="0">
                  <c:v>Rural Poverty</c:v>
                </c:pt>
              </c:strCache>
            </c:strRef>
          </c:tx>
          <c:spPr>
            <a:ln w="28575" cap="rnd">
              <a:solidFill>
                <a:schemeClr val="accent1"/>
              </a:solidFill>
              <a:round/>
            </a:ln>
            <a:effectLst/>
          </c:spPr>
          <c:marker>
            <c:symbol val="none"/>
          </c:marker>
          <c:cat>
            <c:numRef>
              <c:f>Sheet4!$B$1:$E$1</c:f>
              <c:numCache>
                <c:formatCode>General</c:formatCode>
                <c:ptCount val="4"/>
                <c:pt idx="0">
                  <c:v>1998</c:v>
                </c:pt>
                <c:pt idx="1">
                  <c:v>2004</c:v>
                </c:pt>
                <c:pt idx="2">
                  <c:v>2006</c:v>
                </c:pt>
                <c:pt idx="3">
                  <c:v>2010</c:v>
                </c:pt>
              </c:numCache>
            </c:numRef>
          </c:cat>
          <c:val>
            <c:numRef>
              <c:f>Sheet4!$B$2:$E$2</c:f>
              <c:numCache>
                <c:formatCode>General</c:formatCode>
                <c:ptCount val="4"/>
                <c:pt idx="0">
                  <c:v>83</c:v>
                </c:pt>
                <c:pt idx="1">
                  <c:v>78</c:v>
                </c:pt>
                <c:pt idx="2">
                  <c:v>80.3</c:v>
                </c:pt>
                <c:pt idx="3">
                  <c:v>77.900000000000006</c:v>
                </c:pt>
              </c:numCache>
            </c:numRef>
          </c:val>
          <c:smooth val="0"/>
        </c:ser>
        <c:ser>
          <c:idx val="1"/>
          <c:order val="1"/>
          <c:tx>
            <c:strRef>
              <c:f>Sheet4!$A$3</c:f>
              <c:strCache>
                <c:ptCount val="1"/>
                <c:pt idx="0">
                  <c:v>Urban Poverty</c:v>
                </c:pt>
              </c:strCache>
            </c:strRef>
          </c:tx>
          <c:spPr>
            <a:ln w="28575" cap="rnd">
              <a:solidFill>
                <a:schemeClr val="accent2"/>
              </a:solidFill>
              <a:round/>
            </a:ln>
            <a:effectLst/>
          </c:spPr>
          <c:marker>
            <c:symbol val="none"/>
          </c:marker>
          <c:cat>
            <c:numRef>
              <c:f>Sheet4!$B$1:$E$1</c:f>
              <c:numCache>
                <c:formatCode>General</c:formatCode>
                <c:ptCount val="4"/>
                <c:pt idx="0">
                  <c:v>1998</c:v>
                </c:pt>
                <c:pt idx="1">
                  <c:v>2004</c:v>
                </c:pt>
                <c:pt idx="2">
                  <c:v>2006</c:v>
                </c:pt>
                <c:pt idx="3">
                  <c:v>2010</c:v>
                </c:pt>
              </c:numCache>
            </c:numRef>
          </c:cat>
          <c:val>
            <c:numRef>
              <c:f>Sheet4!$B$3:$E$3</c:f>
              <c:numCache>
                <c:formatCode>General</c:formatCode>
                <c:ptCount val="4"/>
                <c:pt idx="0">
                  <c:v>56</c:v>
                </c:pt>
                <c:pt idx="1">
                  <c:v>53</c:v>
                </c:pt>
                <c:pt idx="2">
                  <c:v>29.7</c:v>
                </c:pt>
                <c:pt idx="3">
                  <c:v>27.5</c:v>
                </c:pt>
              </c:numCache>
            </c:numRef>
          </c:val>
          <c:smooth val="0"/>
        </c:ser>
        <c:dLbls>
          <c:showLegendKey val="0"/>
          <c:showVal val="0"/>
          <c:showCatName val="0"/>
          <c:showSerName val="0"/>
          <c:showPercent val="0"/>
          <c:showBubbleSize val="0"/>
        </c:dLbls>
        <c:marker val="1"/>
        <c:smooth val="0"/>
        <c:axId val="96618752"/>
        <c:axId val="96624640"/>
      </c:lineChart>
      <c:catAx>
        <c:axId val="96618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6624640"/>
        <c:crosses val="autoZero"/>
        <c:auto val="1"/>
        <c:lblAlgn val="ctr"/>
        <c:lblOffset val="100"/>
        <c:noMultiLvlLbl val="0"/>
      </c:catAx>
      <c:valAx>
        <c:axId val="966246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a:t>
                </a:r>
              </a:p>
            </c:rich>
          </c:tx>
          <c:layout>
            <c:manualLayout>
              <c:xMode val="edge"/>
              <c:yMode val="edge"/>
              <c:x val="9.7222222222222224E-2"/>
              <c:y val="0.40299394867308203"/>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661875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439962592754798"/>
          <c:y val="5.6280378613456097E-2"/>
          <c:w val="0.6456003740724523"/>
          <c:h val="0.66306786479011692"/>
        </c:manualLayout>
      </c:layout>
      <c:lineChart>
        <c:grouping val="standard"/>
        <c:varyColors val="0"/>
        <c:ser>
          <c:idx val="0"/>
          <c:order val="0"/>
          <c:tx>
            <c:strRef>
              <c:f>Sheet12!$A$2</c:f>
              <c:strCache>
                <c:ptCount val="1"/>
                <c:pt idx="0">
                  <c:v>Grade 1 entrants with pre-school experience (%)</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cat>
            <c:strRef>
              <c:f>Sheet12!$B$1:$I$1</c:f>
              <c:strCache>
                <c:ptCount val="7"/>
                <c:pt idx="0">
                  <c:v>2004</c:v>
                </c:pt>
                <c:pt idx="1">
                  <c:v>2010</c:v>
                </c:pt>
                <c:pt idx="2">
                  <c:v>2012</c:v>
                </c:pt>
                <c:pt idx="3">
                  <c:v>2013</c:v>
                </c:pt>
                <c:pt idx="4">
                  <c:v>2014</c:v>
                </c:pt>
                <c:pt idx="6">
                  <c:v> EFA Target</c:v>
                </c:pt>
              </c:strCache>
            </c:strRef>
          </c:cat>
          <c:val>
            <c:numRef>
              <c:f>Sheet12!$B$2:$I$2</c:f>
              <c:numCache>
                <c:formatCode>General</c:formatCode>
                <c:ptCount val="8"/>
                <c:pt idx="0">
                  <c:v>15.9</c:v>
                </c:pt>
                <c:pt idx="1">
                  <c:v>17</c:v>
                </c:pt>
                <c:pt idx="2">
                  <c:v>18.7</c:v>
                </c:pt>
                <c:pt idx="3">
                  <c:v>14.5</c:v>
                </c:pt>
                <c:pt idx="4">
                  <c:v>15.4</c:v>
                </c:pt>
                <c:pt idx="6">
                  <c:v>50</c:v>
                </c:pt>
              </c:numCache>
            </c:numRef>
          </c:val>
          <c:smooth val="0"/>
        </c:ser>
        <c:dLbls>
          <c:showLegendKey val="0"/>
          <c:showVal val="0"/>
          <c:showCatName val="0"/>
          <c:showSerName val="0"/>
          <c:showPercent val="0"/>
          <c:showBubbleSize val="0"/>
        </c:dLbls>
        <c:marker val="1"/>
        <c:smooth val="0"/>
        <c:axId val="77038336"/>
        <c:axId val="77040256"/>
      </c:lineChart>
      <c:catAx>
        <c:axId val="77038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77040256"/>
        <c:crosses val="autoZero"/>
        <c:auto val="1"/>
        <c:lblAlgn val="ctr"/>
        <c:lblOffset val="100"/>
        <c:noMultiLvlLbl val="0"/>
      </c:catAx>
      <c:valAx>
        <c:axId val="770402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cap="all" baseline="0">
                    <a:solidFill>
                      <a:schemeClr val="tx1">
                        <a:lumMod val="65000"/>
                        <a:lumOff val="35000"/>
                      </a:schemeClr>
                    </a:solidFill>
                    <a:latin typeface="+mn-lt"/>
                    <a:ea typeface="+mn-ea"/>
                    <a:cs typeface="+mn-cs"/>
                  </a:defRPr>
                </a:pPr>
                <a:r>
                  <a:rPr lang="en-US" b="1" cap="none"/>
                  <a:t>Percent</a:t>
                </a:r>
                <a:endParaRPr lang="en-US" b="1"/>
              </a:p>
            </c:rich>
          </c:tx>
          <c:layout>
            <c:manualLayout>
              <c:xMode val="edge"/>
              <c:yMode val="edge"/>
              <c:x val="0.27035353685154528"/>
              <c:y val="0.37642831100448626"/>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7038336"/>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Sheet1!$A$2</c:f>
              <c:strCache>
                <c:ptCount val="1"/>
                <c:pt idx="0">
                  <c:v>Total</c:v>
                </c:pt>
              </c:strCache>
            </c:strRef>
          </c:tx>
          <c:spPr>
            <a:effectLst>
              <a:innerShdw blurRad="114300">
                <a:schemeClr val="accent1"/>
              </a:innerShdw>
            </a:effectLst>
          </c:spPr>
          <c:marker>
            <c:symbol val="none"/>
          </c:marker>
          <c:trendline>
            <c:spPr>
              <a:ln w="19050" cap="rnd">
                <a:solidFill>
                  <a:schemeClr val="accent1"/>
                </a:solidFill>
              </a:ln>
              <a:effectLst/>
            </c:spPr>
            <c:trendlineType val="linear"/>
            <c:dispRSqr val="0"/>
            <c:dispEq val="0"/>
          </c:trendline>
          <c:cat>
            <c:strRef>
              <c:f>Sheet1!$B$1:$R$1</c:f>
              <c:strCache>
                <c:ptCount val="17"/>
                <c:pt idx="0">
                  <c:v>1990</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 Target</c:v>
                </c:pt>
              </c:strCache>
            </c:strRef>
          </c:cat>
          <c:val>
            <c:numRef>
              <c:f>Sheet1!$B$2:$R$2</c:f>
              <c:numCache>
                <c:formatCode>General</c:formatCode>
                <c:ptCount val="17"/>
                <c:pt idx="0">
                  <c:v>80</c:v>
                </c:pt>
                <c:pt idx="1">
                  <c:v>71.099999999999994</c:v>
                </c:pt>
                <c:pt idx="2">
                  <c:v>76.599999999999994</c:v>
                </c:pt>
                <c:pt idx="3">
                  <c:v>77.7</c:v>
                </c:pt>
                <c:pt idx="4">
                  <c:v>81.3</c:v>
                </c:pt>
                <c:pt idx="5">
                  <c:v>85.1</c:v>
                </c:pt>
                <c:pt idx="6">
                  <c:v>95.6</c:v>
                </c:pt>
                <c:pt idx="7">
                  <c:v>97</c:v>
                </c:pt>
                <c:pt idx="8">
                  <c:v>99</c:v>
                </c:pt>
                <c:pt idx="9">
                  <c:v>102.8</c:v>
                </c:pt>
                <c:pt idx="10">
                  <c:v>102.1</c:v>
                </c:pt>
                <c:pt idx="11">
                  <c:v>93.7</c:v>
                </c:pt>
                <c:pt idx="12">
                  <c:v>96</c:v>
                </c:pt>
                <c:pt idx="13">
                  <c:v>109.9</c:v>
                </c:pt>
                <c:pt idx="14">
                  <c:v>107</c:v>
                </c:pt>
                <c:pt idx="15">
                  <c:v>94.3</c:v>
                </c:pt>
                <c:pt idx="16">
                  <c:v>100</c:v>
                </c:pt>
              </c:numCache>
            </c:numRef>
          </c:val>
          <c:smooth val="0"/>
        </c:ser>
        <c:ser>
          <c:idx val="1"/>
          <c:order val="1"/>
          <c:tx>
            <c:strRef>
              <c:f>Sheet1!$A$3</c:f>
              <c:strCache>
                <c:ptCount val="1"/>
                <c:pt idx="0">
                  <c:v>Girls</c:v>
                </c:pt>
              </c:strCache>
            </c:strRef>
          </c:tx>
          <c:spPr>
            <a:effectLst>
              <a:innerShdw blurRad="114300">
                <a:schemeClr val="accent2"/>
              </a:innerShdw>
            </a:effectLst>
          </c:spPr>
          <c:marker>
            <c:symbol val="none"/>
          </c:marker>
          <c:cat>
            <c:strRef>
              <c:f>Sheet1!$B$1:$R$1</c:f>
              <c:strCache>
                <c:ptCount val="17"/>
                <c:pt idx="0">
                  <c:v>1990</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 Target</c:v>
                </c:pt>
              </c:strCache>
            </c:strRef>
          </c:cat>
          <c:val>
            <c:numRef>
              <c:f>Sheet1!$B$3:$R$3</c:f>
              <c:numCache>
                <c:formatCode>General</c:formatCode>
                <c:ptCount val="17"/>
                <c:pt idx="0">
                  <c:v>69</c:v>
                </c:pt>
                <c:pt idx="1">
                  <c:v>76.599999999999994</c:v>
                </c:pt>
                <c:pt idx="2">
                  <c:v>75.3</c:v>
                </c:pt>
                <c:pt idx="3">
                  <c:v>76.400000000000006</c:v>
                </c:pt>
                <c:pt idx="4">
                  <c:v>82.4</c:v>
                </c:pt>
                <c:pt idx="5">
                  <c:v>84.6</c:v>
                </c:pt>
                <c:pt idx="6">
                  <c:v>95.8</c:v>
                </c:pt>
                <c:pt idx="7">
                  <c:v>98</c:v>
                </c:pt>
                <c:pt idx="8">
                  <c:v>99.9</c:v>
                </c:pt>
                <c:pt idx="9">
                  <c:v>102.6</c:v>
                </c:pt>
                <c:pt idx="10">
                  <c:v>102.3</c:v>
                </c:pt>
                <c:pt idx="11">
                  <c:v>93.9</c:v>
                </c:pt>
                <c:pt idx="12">
                  <c:v>97</c:v>
                </c:pt>
                <c:pt idx="13">
                  <c:v>111.7</c:v>
                </c:pt>
                <c:pt idx="14">
                  <c:v>108.2</c:v>
                </c:pt>
                <c:pt idx="15">
                  <c:v>95.4</c:v>
                </c:pt>
                <c:pt idx="16">
                  <c:v>100</c:v>
                </c:pt>
              </c:numCache>
            </c:numRef>
          </c:val>
          <c:smooth val="0"/>
        </c:ser>
        <c:ser>
          <c:idx val="2"/>
          <c:order val="2"/>
          <c:tx>
            <c:strRef>
              <c:f>Sheet1!$A$4</c:f>
              <c:strCache>
                <c:ptCount val="1"/>
                <c:pt idx="0">
                  <c:v>Boys</c:v>
                </c:pt>
              </c:strCache>
            </c:strRef>
          </c:tx>
          <c:spPr>
            <a:effectLst>
              <a:innerShdw blurRad="114300">
                <a:schemeClr val="accent3"/>
              </a:innerShdw>
            </a:effectLst>
          </c:spPr>
          <c:marker>
            <c:symbol val="none"/>
          </c:marker>
          <c:cat>
            <c:strRef>
              <c:f>Sheet1!$B$1:$R$1</c:f>
              <c:strCache>
                <c:ptCount val="17"/>
                <c:pt idx="0">
                  <c:v>1990</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 Target</c:v>
                </c:pt>
              </c:strCache>
            </c:strRef>
          </c:cat>
          <c:val>
            <c:numRef>
              <c:f>Sheet1!$B$4:$R$4</c:f>
              <c:numCache>
                <c:formatCode>General</c:formatCode>
                <c:ptCount val="17"/>
                <c:pt idx="0">
                  <c:v>71</c:v>
                </c:pt>
                <c:pt idx="1">
                  <c:v>72.7</c:v>
                </c:pt>
                <c:pt idx="2">
                  <c:v>77.8</c:v>
                </c:pt>
                <c:pt idx="3">
                  <c:v>78.8</c:v>
                </c:pt>
                <c:pt idx="4">
                  <c:v>81.3</c:v>
                </c:pt>
                <c:pt idx="5">
                  <c:v>85.6</c:v>
                </c:pt>
                <c:pt idx="6">
                  <c:v>95.3</c:v>
                </c:pt>
                <c:pt idx="7">
                  <c:v>96</c:v>
                </c:pt>
                <c:pt idx="8">
                  <c:v>99.9</c:v>
                </c:pt>
                <c:pt idx="9">
                  <c:v>103</c:v>
                </c:pt>
                <c:pt idx="10">
                  <c:v>101.9</c:v>
                </c:pt>
                <c:pt idx="11">
                  <c:v>93.1</c:v>
                </c:pt>
                <c:pt idx="12">
                  <c:v>95</c:v>
                </c:pt>
                <c:pt idx="13">
                  <c:v>108.1</c:v>
                </c:pt>
                <c:pt idx="14">
                  <c:v>105.8</c:v>
                </c:pt>
                <c:pt idx="15">
                  <c:v>93.1</c:v>
                </c:pt>
                <c:pt idx="16">
                  <c:v>100</c:v>
                </c:pt>
              </c:numCache>
            </c:numRef>
          </c:val>
          <c:smooth val="0"/>
        </c:ser>
        <c:dLbls>
          <c:showLegendKey val="0"/>
          <c:showVal val="0"/>
          <c:showCatName val="0"/>
          <c:showSerName val="0"/>
          <c:showPercent val="0"/>
          <c:showBubbleSize val="0"/>
        </c:dLbls>
        <c:marker val="1"/>
        <c:smooth val="0"/>
        <c:axId val="98101504"/>
        <c:axId val="115736576"/>
      </c:lineChart>
      <c:catAx>
        <c:axId val="9810150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5736576"/>
        <c:crosses val="autoZero"/>
        <c:auto val="1"/>
        <c:lblAlgn val="ctr"/>
        <c:lblOffset val="100"/>
        <c:noMultiLvlLbl val="0"/>
      </c:catAx>
      <c:valAx>
        <c:axId val="115736576"/>
        <c:scaling>
          <c:orientation val="minMax"/>
        </c:scaling>
        <c:delete val="0"/>
        <c:axPos val="l"/>
        <c:majorGridlines>
          <c:spPr>
            <a:ln>
              <a:solidFill>
                <a:schemeClr val="tx1">
                  <a:lumMod val="15000"/>
                  <a:lumOff val="85000"/>
                </a:schemeClr>
              </a:solidFill>
            </a:ln>
            <a:effectLst/>
          </c:spPr>
        </c:majorGridlines>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Net Enrolment Rate (%)</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8101504"/>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Sheet9!$A$2</c:f>
              <c:strCache>
                <c:ptCount val="1"/>
                <c:pt idx="0">
                  <c:v>Total</c:v>
                </c:pt>
              </c:strCache>
            </c:strRef>
          </c:tx>
          <c:spPr>
            <a:ln w="28575" cap="rnd">
              <a:solidFill>
                <a:schemeClr val="accent1"/>
              </a:solidFill>
              <a:round/>
            </a:ln>
            <a:effectLst/>
          </c:spPr>
          <c:marker>
            <c:symbol val="none"/>
          </c:marker>
          <c:cat>
            <c:strRef>
              <c:f>Sheet9!$B$1:$M$1</c:f>
              <c:strCache>
                <c:ptCount val="12"/>
                <c:pt idx="0">
                  <c:v>1990</c:v>
                </c:pt>
                <c:pt idx="1">
                  <c:v>2000</c:v>
                </c:pt>
                <c:pt idx="2">
                  <c:v>2001</c:v>
                </c:pt>
                <c:pt idx="3">
                  <c:v>2002</c:v>
                </c:pt>
                <c:pt idx="4">
                  <c:v>2003</c:v>
                </c:pt>
                <c:pt idx="5">
                  <c:v>2004</c:v>
                </c:pt>
                <c:pt idx="6">
                  <c:v>2005</c:v>
                </c:pt>
                <c:pt idx="7">
                  <c:v>2006</c:v>
                </c:pt>
                <c:pt idx="8">
                  <c:v>2009</c:v>
                </c:pt>
                <c:pt idx="9">
                  <c:v>2010</c:v>
                </c:pt>
                <c:pt idx="10">
                  <c:v>2014</c:v>
                </c:pt>
                <c:pt idx="11">
                  <c:v>2015 Target</c:v>
                </c:pt>
              </c:strCache>
            </c:strRef>
          </c:cat>
          <c:val>
            <c:numRef>
              <c:f>Sheet9!$B$2:$M$2</c:f>
              <c:numCache>
                <c:formatCode>General</c:formatCode>
                <c:ptCount val="12"/>
                <c:pt idx="0">
                  <c:v>64</c:v>
                </c:pt>
                <c:pt idx="1">
                  <c:v>63.6</c:v>
                </c:pt>
                <c:pt idx="2">
                  <c:v>64.2</c:v>
                </c:pt>
                <c:pt idx="3">
                  <c:v>64.3</c:v>
                </c:pt>
                <c:pt idx="4">
                  <c:v>73</c:v>
                </c:pt>
                <c:pt idx="5">
                  <c:v>82</c:v>
                </c:pt>
                <c:pt idx="6">
                  <c:v>81</c:v>
                </c:pt>
                <c:pt idx="7">
                  <c:v>83</c:v>
                </c:pt>
                <c:pt idx="8">
                  <c:v>91.7</c:v>
                </c:pt>
                <c:pt idx="9">
                  <c:v>90.9</c:v>
                </c:pt>
                <c:pt idx="10">
                  <c:v>86.2</c:v>
                </c:pt>
                <c:pt idx="11">
                  <c:v>100</c:v>
                </c:pt>
              </c:numCache>
            </c:numRef>
          </c:val>
          <c:smooth val="0"/>
        </c:ser>
        <c:ser>
          <c:idx val="1"/>
          <c:order val="1"/>
          <c:tx>
            <c:strRef>
              <c:f>Sheet9!$A$3</c:f>
              <c:strCache>
                <c:ptCount val="1"/>
                <c:pt idx="0">
                  <c:v>Girls</c:v>
                </c:pt>
              </c:strCache>
            </c:strRef>
          </c:tx>
          <c:spPr>
            <a:ln w="28575" cap="rnd">
              <a:solidFill>
                <a:schemeClr val="accent2"/>
              </a:solidFill>
              <a:round/>
            </a:ln>
            <a:effectLst/>
          </c:spPr>
          <c:marker>
            <c:symbol val="none"/>
          </c:marker>
          <c:cat>
            <c:strRef>
              <c:f>Sheet9!$B$1:$M$1</c:f>
              <c:strCache>
                <c:ptCount val="12"/>
                <c:pt idx="0">
                  <c:v>1990</c:v>
                </c:pt>
                <c:pt idx="1">
                  <c:v>2000</c:v>
                </c:pt>
                <c:pt idx="2">
                  <c:v>2001</c:v>
                </c:pt>
                <c:pt idx="3">
                  <c:v>2002</c:v>
                </c:pt>
                <c:pt idx="4">
                  <c:v>2003</c:v>
                </c:pt>
                <c:pt idx="5">
                  <c:v>2004</c:v>
                </c:pt>
                <c:pt idx="6">
                  <c:v>2005</c:v>
                </c:pt>
                <c:pt idx="7">
                  <c:v>2006</c:v>
                </c:pt>
                <c:pt idx="8">
                  <c:v>2009</c:v>
                </c:pt>
                <c:pt idx="9">
                  <c:v>2010</c:v>
                </c:pt>
                <c:pt idx="10">
                  <c:v>2014</c:v>
                </c:pt>
                <c:pt idx="11">
                  <c:v>2015 Target</c:v>
                </c:pt>
              </c:strCache>
            </c:strRef>
          </c:cat>
          <c:val>
            <c:numRef>
              <c:f>Sheet9!$B$3:$M$3</c:f>
              <c:numCache>
                <c:formatCode>General</c:formatCode>
                <c:ptCount val="12"/>
                <c:pt idx="0">
                  <c:v>57</c:v>
                </c:pt>
                <c:pt idx="1">
                  <c:v>57.5</c:v>
                </c:pt>
                <c:pt idx="2">
                  <c:v>58.6</c:v>
                </c:pt>
                <c:pt idx="3">
                  <c:v>58.2</c:v>
                </c:pt>
                <c:pt idx="4">
                  <c:v>66</c:v>
                </c:pt>
                <c:pt idx="5">
                  <c:v>75</c:v>
                </c:pt>
                <c:pt idx="6">
                  <c:v>73</c:v>
                </c:pt>
                <c:pt idx="7">
                  <c:v>79</c:v>
                </c:pt>
                <c:pt idx="8">
                  <c:v>87.7</c:v>
                </c:pt>
                <c:pt idx="9">
                  <c:v>89.6</c:v>
                </c:pt>
                <c:pt idx="10">
                  <c:v>83.6</c:v>
                </c:pt>
                <c:pt idx="11">
                  <c:v>100</c:v>
                </c:pt>
              </c:numCache>
            </c:numRef>
          </c:val>
          <c:smooth val="0"/>
        </c:ser>
        <c:ser>
          <c:idx val="2"/>
          <c:order val="2"/>
          <c:tx>
            <c:strRef>
              <c:f>Sheet9!$A$4</c:f>
              <c:strCache>
                <c:ptCount val="1"/>
                <c:pt idx="0">
                  <c:v>Boys</c:v>
                </c:pt>
              </c:strCache>
            </c:strRef>
          </c:tx>
          <c:spPr>
            <a:ln w="28575" cap="rnd">
              <a:solidFill>
                <a:schemeClr val="accent3"/>
              </a:solidFill>
              <a:round/>
            </a:ln>
            <a:effectLst/>
          </c:spPr>
          <c:marker>
            <c:symbol val="none"/>
          </c:marker>
          <c:cat>
            <c:strRef>
              <c:f>Sheet9!$B$1:$M$1</c:f>
              <c:strCache>
                <c:ptCount val="12"/>
                <c:pt idx="0">
                  <c:v>1990</c:v>
                </c:pt>
                <c:pt idx="1">
                  <c:v>2000</c:v>
                </c:pt>
                <c:pt idx="2">
                  <c:v>2001</c:v>
                </c:pt>
                <c:pt idx="3">
                  <c:v>2002</c:v>
                </c:pt>
                <c:pt idx="4">
                  <c:v>2003</c:v>
                </c:pt>
                <c:pt idx="5">
                  <c:v>2004</c:v>
                </c:pt>
                <c:pt idx="6">
                  <c:v>2005</c:v>
                </c:pt>
                <c:pt idx="7">
                  <c:v>2006</c:v>
                </c:pt>
                <c:pt idx="8">
                  <c:v>2009</c:v>
                </c:pt>
                <c:pt idx="9">
                  <c:v>2010</c:v>
                </c:pt>
                <c:pt idx="10">
                  <c:v>2014</c:v>
                </c:pt>
                <c:pt idx="11">
                  <c:v>2015 Target</c:v>
                </c:pt>
              </c:strCache>
            </c:strRef>
          </c:cat>
          <c:val>
            <c:numRef>
              <c:f>Sheet9!$B$4:$M$4</c:f>
              <c:numCache>
                <c:formatCode>General</c:formatCode>
                <c:ptCount val="12"/>
                <c:pt idx="0">
                  <c:v>71</c:v>
                </c:pt>
                <c:pt idx="1">
                  <c:v>69.8</c:v>
                </c:pt>
                <c:pt idx="2">
                  <c:v>70</c:v>
                </c:pt>
                <c:pt idx="3">
                  <c:v>70.5</c:v>
                </c:pt>
                <c:pt idx="4">
                  <c:v>80</c:v>
                </c:pt>
                <c:pt idx="5">
                  <c:v>95</c:v>
                </c:pt>
                <c:pt idx="6">
                  <c:v>88</c:v>
                </c:pt>
                <c:pt idx="7">
                  <c:v>91</c:v>
                </c:pt>
                <c:pt idx="8">
                  <c:v>98.7</c:v>
                </c:pt>
                <c:pt idx="9">
                  <c:v>90.8</c:v>
                </c:pt>
                <c:pt idx="10">
                  <c:v>88.9</c:v>
                </c:pt>
                <c:pt idx="11">
                  <c:v>100</c:v>
                </c:pt>
              </c:numCache>
            </c:numRef>
          </c:val>
          <c:smooth val="0"/>
        </c:ser>
        <c:dLbls>
          <c:showLegendKey val="0"/>
          <c:showVal val="0"/>
          <c:showCatName val="0"/>
          <c:showSerName val="0"/>
          <c:showPercent val="0"/>
          <c:showBubbleSize val="0"/>
        </c:dLbls>
        <c:marker val="1"/>
        <c:smooth val="0"/>
        <c:axId val="115874432"/>
        <c:axId val="115917184"/>
      </c:lineChart>
      <c:catAx>
        <c:axId val="115874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5917184"/>
        <c:crosses val="autoZero"/>
        <c:auto val="1"/>
        <c:lblAlgn val="ctr"/>
        <c:lblOffset val="100"/>
        <c:noMultiLvlLbl val="0"/>
      </c:catAx>
      <c:valAx>
        <c:axId val="1159171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Primary Completion Rate (%)</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587443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Sheet10!$A$2</c:f>
              <c:strCache>
                <c:ptCount val="1"/>
                <c:pt idx="0">
                  <c:v>Male</c:v>
                </c:pt>
              </c:strCache>
            </c:strRef>
          </c:tx>
          <c:spPr>
            <a:ln w="28575" cap="rnd">
              <a:solidFill>
                <a:schemeClr val="accent1"/>
              </a:solidFill>
              <a:round/>
            </a:ln>
            <a:effectLst/>
          </c:spPr>
          <c:marker>
            <c:symbol val="none"/>
          </c:marker>
          <c:cat>
            <c:numRef>
              <c:f>Sheet10!$B$1:$I$1</c:f>
              <c:numCache>
                <c:formatCode>General</c:formatCode>
                <c:ptCount val="8"/>
                <c:pt idx="0">
                  <c:v>2007</c:v>
                </c:pt>
                <c:pt idx="1">
                  <c:v>2008</c:v>
                </c:pt>
                <c:pt idx="2">
                  <c:v>2009</c:v>
                </c:pt>
                <c:pt idx="3">
                  <c:v>2010</c:v>
                </c:pt>
                <c:pt idx="4">
                  <c:v>2011</c:v>
                </c:pt>
                <c:pt idx="5">
                  <c:v>2012</c:v>
                </c:pt>
                <c:pt idx="6">
                  <c:v>2013</c:v>
                </c:pt>
                <c:pt idx="7">
                  <c:v>2014</c:v>
                </c:pt>
              </c:numCache>
            </c:numRef>
          </c:cat>
          <c:val>
            <c:numRef>
              <c:f>Sheet10!$B$2:$I$2</c:f>
              <c:numCache>
                <c:formatCode>General</c:formatCode>
                <c:ptCount val="8"/>
                <c:pt idx="0">
                  <c:v>74.8</c:v>
                </c:pt>
                <c:pt idx="1">
                  <c:v>79.2</c:v>
                </c:pt>
                <c:pt idx="2">
                  <c:v>85</c:v>
                </c:pt>
                <c:pt idx="3">
                  <c:v>82</c:v>
                </c:pt>
                <c:pt idx="4">
                  <c:v>85</c:v>
                </c:pt>
                <c:pt idx="5">
                  <c:v>95.1</c:v>
                </c:pt>
                <c:pt idx="6">
                  <c:v>81.900000000000006</c:v>
                </c:pt>
                <c:pt idx="7">
                  <c:v>70.7</c:v>
                </c:pt>
              </c:numCache>
            </c:numRef>
          </c:val>
          <c:smooth val="0"/>
        </c:ser>
        <c:ser>
          <c:idx val="1"/>
          <c:order val="1"/>
          <c:tx>
            <c:strRef>
              <c:f>Sheet10!$A$3</c:f>
              <c:strCache>
                <c:ptCount val="1"/>
                <c:pt idx="0">
                  <c:v>Female</c:v>
                </c:pt>
              </c:strCache>
            </c:strRef>
          </c:tx>
          <c:spPr>
            <a:ln w="28575" cap="rnd">
              <a:solidFill>
                <a:schemeClr val="accent2"/>
              </a:solidFill>
              <a:round/>
            </a:ln>
            <a:effectLst/>
          </c:spPr>
          <c:marker>
            <c:symbol val="none"/>
          </c:marker>
          <c:cat>
            <c:numRef>
              <c:f>Sheet10!$B$1:$I$1</c:f>
              <c:numCache>
                <c:formatCode>General</c:formatCode>
                <c:ptCount val="8"/>
                <c:pt idx="0">
                  <c:v>2007</c:v>
                </c:pt>
                <c:pt idx="1">
                  <c:v>2008</c:v>
                </c:pt>
                <c:pt idx="2">
                  <c:v>2009</c:v>
                </c:pt>
                <c:pt idx="3">
                  <c:v>2010</c:v>
                </c:pt>
                <c:pt idx="4">
                  <c:v>2011</c:v>
                </c:pt>
                <c:pt idx="5">
                  <c:v>2012</c:v>
                </c:pt>
                <c:pt idx="6">
                  <c:v>2013</c:v>
                </c:pt>
                <c:pt idx="7">
                  <c:v>2014</c:v>
                </c:pt>
              </c:numCache>
            </c:numRef>
          </c:cat>
          <c:val>
            <c:numRef>
              <c:f>Sheet10!$B$3:$I$3</c:f>
              <c:numCache>
                <c:formatCode>General</c:formatCode>
                <c:ptCount val="8"/>
                <c:pt idx="0">
                  <c:v>80.7</c:v>
                </c:pt>
                <c:pt idx="1">
                  <c:v>81.7</c:v>
                </c:pt>
                <c:pt idx="2">
                  <c:v>81.5</c:v>
                </c:pt>
                <c:pt idx="3">
                  <c:v>79</c:v>
                </c:pt>
                <c:pt idx="4">
                  <c:v>77.3</c:v>
                </c:pt>
                <c:pt idx="5">
                  <c:v>96.1</c:v>
                </c:pt>
                <c:pt idx="6">
                  <c:v>81.2</c:v>
                </c:pt>
                <c:pt idx="7">
                  <c:v>71.099999999999994</c:v>
                </c:pt>
              </c:numCache>
            </c:numRef>
          </c:val>
          <c:smooth val="0"/>
        </c:ser>
        <c:ser>
          <c:idx val="2"/>
          <c:order val="2"/>
          <c:tx>
            <c:strRef>
              <c:f>Sheet10!$A$4</c:f>
              <c:strCache>
                <c:ptCount val="1"/>
                <c:pt idx="0">
                  <c:v>All</c:v>
                </c:pt>
              </c:strCache>
            </c:strRef>
          </c:tx>
          <c:spPr>
            <a:ln w="28575" cap="rnd">
              <a:solidFill>
                <a:schemeClr val="accent3"/>
              </a:solidFill>
              <a:round/>
            </a:ln>
            <a:effectLst/>
          </c:spPr>
          <c:marker>
            <c:symbol val="none"/>
          </c:marker>
          <c:cat>
            <c:numRef>
              <c:f>Sheet10!$B$1:$I$1</c:f>
              <c:numCache>
                <c:formatCode>General</c:formatCode>
                <c:ptCount val="8"/>
                <c:pt idx="0">
                  <c:v>2007</c:v>
                </c:pt>
                <c:pt idx="1">
                  <c:v>2008</c:v>
                </c:pt>
                <c:pt idx="2">
                  <c:v>2009</c:v>
                </c:pt>
                <c:pt idx="3">
                  <c:v>2010</c:v>
                </c:pt>
                <c:pt idx="4">
                  <c:v>2011</c:v>
                </c:pt>
                <c:pt idx="5">
                  <c:v>2012</c:v>
                </c:pt>
                <c:pt idx="6">
                  <c:v>2013</c:v>
                </c:pt>
                <c:pt idx="7">
                  <c:v>2014</c:v>
                </c:pt>
              </c:numCache>
            </c:numRef>
          </c:cat>
          <c:val>
            <c:numRef>
              <c:f>Sheet10!$B$4:$I$4</c:f>
              <c:numCache>
                <c:formatCode>General</c:formatCode>
                <c:ptCount val="8"/>
                <c:pt idx="0">
                  <c:v>77.8</c:v>
                </c:pt>
                <c:pt idx="1">
                  <c:v>78.5</c:v>
                </c:pt>
                <c:pt idx="2">
                  <c:v>83.3</c:v>
                </c:pt>
                <c:pt idx="3">
                  <c:v>81</c:v>
                </c:pt>
                <c:pt idx="4">
                  <c:v>81.5</c:v>
                </c:pt>
                <c:pt idx="5">
                  <c:v>95.4</c:v>
                </c:pt>
                <c:pt idx="6">
                  <c:v>81.400000000000006</c:v>
                </c:pt>
                <c:pt idx="7">
                  <c:v>70.7</c:v>
                </c:pt>
              </c:numCache>
            </c:numRef>
          </c:val>
          <c:smooth val="0"/>
        </c:ser>
        <c:dLbls>
          <c:showLegendKey val="0"/>
          <c:showVal val="0"/>
          <c:showCatName val="0"/>
          <c:showSerName val="0"/>
          <c:showPercent val="0"/>
          <c:showBubbleSize val="0"/>
        </c:dLbls>
        <c:marker val="1"/>
        <c:smooth val="0"/>
        <c:axId val="115768320"/>
        <c:axId val="115880704"/>
      </c:lineChart>
      <c:catAx>
        <c:axId val="115768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5880704"/>
        <c:crosses val="autoZero"/>
        <c:auto val="1"/>
        <c:lblAlgn val="ctr"/>
        <c:lblOffset val="100"/>
        <c:noMultiLvlLbl val="0"/>
      </c:catAx>
      <c:valAx>
        <c:axId val="1158807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Survival Rate to Grade 5 (%)</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576832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2016-01-22T00:00:00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90A8BD-2F62-4D5F-9788-13EA6C6FB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17602</Words>
  <Characters>100338</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ZANEC National Research on Education Gaps and Domestic Financing in Zambia</vt:lpstr>
    </vt:vector>
  </TitlesOfParts>
  <Company>Grayson KoyiINSTITUTE OF ECONOMIC AND SOCIAL RESEARCH</Company>
  <LinksUpToDate>false</LinksUpToDate>
  <CharactersWithSpaces>117705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ZANEC National Research on Education Gaps and Domestic Financing in Zambia</dc:title>
  <dc:creator>gkoyi</dc:creator>
  <cp:lastModifiedBy>Programme Manager</cp:lastModifiedBy>
  <cp:revision>2</cp:revision>
  <cp:lastPrinted>2016-08-11T12:01:00Z</cp:lastPrinted>
  <dcterms:created xsi:type="dcterms:W3CDTF">2016-08-16T15:14:00Z</dcterms:created>
  <dcterms:modified xsi:type="dcterms:W3CDTF">2016-08-16T15:14:00Z</dcterms:modified>
</cp:coreProperties>
</file>